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842"/>
        <w:gridCol w:w="1985"/>
        <w:gridCol w:w="2126"/>
      </w:tblGrid>
      <w:tr w:rsidR="00452C66" w:rsidRPr="002B630A" w:rsidTr="009E2D95">
        <w:tc>
          <w:tcPr>
            <w:tcW w:w="9209" w:type="dxa"/>
            <w:gridSpan w:val="4"/>
          </w:tcPr>
          <w:p w:rsidR="00452C66" w:rsidRDefault="00452C66" w:rsidP="00452C66">
            <w:pPr>
              <w:rPr>
                <w:b/>
                <w:sz w:val="20"/>
                <w:szCs w:val="20"/>
              </w:rPr>
            </w:pPr>
            <w:r w:rsidRPr="002B630A">
              <w:rPr>
                <w:b/>
                <w:sz w:val="20"/>
                <w:szCs w:val="20"/>
              </w:rPr>
              <w:t>Proposed stopping of Non–Statutory</w:t>
            </w:r>
            <w:r>
              <w:rPr>
                <w:b/>
                <w:sz w:val="20"/>
                <w:szCs w:val="20"/>
              </w:rPr>
              <w:t xml:space="preserve"> Service</w:t>
            </w:r>
            <w:r w:rsidR="00B819B1">
              <w:rPr>
                <w:b/>
                <w:sz w:val="20"/>
                <w:szCs w:val="20"/>
              </w:rPr>
              <w:t xml:space="preserve"> – Template 4</w:t>
            </w:r>
          </w:p>
          <w:p w:rsidR="00452C66" w:rsidRPr="002B630A" w:rsidRDefault="00A27E2B" w:rsidP="00452C66">
            <w:pPr>
              <w:rPr>
                <w:b/>
                <w:sz w:val="20"/>
                <w:szCs w:val="20"/>
              </w:rPr>
            </w:pPr>
            <w:r>
              <w:rPr>
                <w:b/>
                <w:sz w:val="20"/>
                <w:szCs w:val="20"/>
              </w:rPr>
              <w:t>BOP 063</w:t>
            </w:r>
          </w:p>
        </w:tc>
      </w:tr>
      <w:tr w:rsidR="00452C66" w:rsidRPr="002B630A" w:rsidTr="009E2D95">
        <w:tc>
          <w:tcPr>
            <w:tcW w:w="3256" w:type="dxa"/>
          </w:tcPr>
          <w:p w:rsidR="006F6072" w:rsidRPr="00E066B2" w:rsidRDefault="00452C66" w:rsidP="00452C66">
            <w:pPr>
              <w:rPr>
                <w:rFonts w:ascii="Calibri" w:hAnsi="Calibri"/>
                <w:color w:val="000000"/>
                <w:sz w:val="20"/>
                <w:szCs w:val="20"/>
              </w:rPr>
            </w:pPr>
            <w:r w:rsidRPr="00937B90">
              <w:rPr>
                <w:b/>
                <w:sz w:val="20"/>
                <w:szCs w:val="20"/>
              </w:rPr>
              <w:t>Service name</w:t>
            </w:r>
            <w:r w:rsidR="00937B90" w:rsidRPr="00937B90">
              <w:rPr>
                <w:b/>
                <w:sz w:val="20"/>
                <w:szCs w:val="20"/>
              </w:rPr>
              <w:t>:</w:t>
            </w:r>
            <w:r w:rsidR="00937B90" w:rsidRPr="00937B90">
              <w:rPr>
                <w:sz w:val="20"/>
                <w:szCs w:val="20"/>
              </w:rPr>
              <w:t xml:space="preserve"> </w:t>
            </w:r>
            <w:r w:rsidR="00487C0E" w:rsidRPr="001F1B19">
              <w:rPr>
                <w:sz w:val="20"/>
                <w:szCs w:val="20"/>
              </w:rPr>
              <w:t>Countryside Services</w:t>
            </w:r>
            <w:r w:rsidR="00097EC9">
              <w:rPr>
                <w:sz w:val="20"/>
                <w:szCs w:val="20"/>
              </w:rPr>
              <w:t xml:space="preserve"> (BBR 056)</w:t>
            </w:r>
          </w:p>
        </w:tc>
        <w:tc>
          <w:tcPr>
            <w:tcW w:w="5953" w:type="dxa"/>
            <w:gridSpan w:val="3"/>
          </w:tcPr>
          <w:p w:rsidR="00452C66" w:rsidRPr="00E066B2" w:rsidRDefault="00E066B2" w:rsidP="00E066B2">
            <w:pPr>
              <w:jc w:val="both"/>
              <w:rPr>
                <w:rFonts w:cs="Arial"/>
                <w:sz w:val="20"/>
                <w:szCs w:val="20"/>
                <w:lang w:val="en"/>
              </w:rPr>
            </w:pPr>
            <w:r>
              <w:rPr>
                <w:sz w:val="20"/>
                <w:szCs w:val="20"/>
              </w:rPr>
              <w:t>Service Description – please see over</w:t>
            </w:r>
          </w:p>
        </w:tc>
      </w:tr>
      <w:tr w:rsidR="00452C66" w:rsidRPr="002B630A" w:rsidTr="00084304">
        <w:tc>
          <w:tcPr>
            <w:tcW w:w="3256" w:type="dxa"/>
            <w:tcBorders>
              <w:bottom w:val="single" w:sz="4" w:space="0" w:color="auto"/>
            </w:tcBorders>
          </w:tcPr>
          <w:p w:rsidR="00452C66" w:rsidRPr="002B630A" w:rsidRDefault="00452C66" w:rsidP="00452C66">
            <w:pPr>
              <w:rPr>
                <w:sz w:val="20"/>
                <w:szCs w:val="20"/>
              </w:rPr>
            </w:pPr>
          </w:p>
        </w:tc>
        <w:tc>
          <w:tcPr>
            <w:tcW w:w="1842" w:type="dxa"/>
            <w:tcBorders>
              <w:bottom w:val="single" w:sz="4" w:space="0" w:color="auto"/>
            </w:tcBorders>
          </w:tcPr>
          <w:p w:rsidR="00452C66" w:rsidRPr="00084304" w:rsidRDefault="00452C66" w:rsidP="00452C66">
            <w:pPr>
              <w:jc w:val="center"/>
              <w:rPr>
                <w:b/>
                <w:sz w:val="20"/>
                <w:szCs w:val="20"/>
              </w:rPr>
            </w:pPr>
            <w:r w:rsidRPr="00084304">
              <w:rPr>
                <w:b/>
                <w:sz w:val="20"/>
                <w:szCs w:val="20"/>
              </w:rPr>
              <w:t>2015/16</w:t>
            </w:r>
          </w:p>
        </w:tc>
        <w:tc>
          <w:tcPr>
            <w:tcW w:w="1985" w:type="dxa"/>
            <w:tcBorders>
              <w:bottom w:val="single" w:sz="4" w:space="0" w:color="auto"/>
            </w:tcBorders>
          </w:tcPr>
          <w:p w:rsidR="00452C66" w:rsidRPr="00084304" w:rsidRDefault="00452C66" w:rsidP="00452C66">
            <w:pPr>
              <w:jc w:val="center"/>
              <w:rPr>
                <w:b/>
                <w:sz w:val="20"/>
                <w:szCs w:val="20"/>
              </w:rPr>
            </w:pPr>
            <w:r w:rsidRPr="00084304">
              <w:rPr>
                <w:b/>
                <w:sz w:val="20"/>
                <w:szCs w:val="20"/>
              </w:rPr>
              <w:t>2016/17</w:t>
            </w:r>
          </w:p>
        </w:tc>
        <w:tc>
          <w:tcPr>
            <w:tcW w:w="2126" w:type="dxa"/>
            <w:tcBorders>
              <w:bottom w:val="single" w:sz="4" w:space="0" w:color="auto"/>
            </w:tcBorders>
          </w:tcPr>
          <w:p w:rsidR="00452C66" w:rsidRPr="00084304" w:rsidRDefault="00452C66" w:rsidP="00452C66">
            <w:pPr>
              <w:jc w:val="center"/>
              <w:rPr>
                <w:b/>
                <w:sz w:val="20"/>
                <w:szCs w:val="20"/>
              </w:rPr>
            </w:pPr>
            <w:r w:rsidRPr="00084304">
              <w:rPr>
                <w:b/>
                <w:sz w:val="20"/>
                <w:szCs w:val="20"/>
              </w:rPr>
              <w:t>2017/18</w:t>
            </w:r>
          </w:p>
        </w:tc>
      </w:tr>
      <w:tr w:rsidR="00524DDC" w:rsidRPr="002B630A" w:rsidTr="00084304">
        <w:tc>
          <w:tcPr>
            <w:tcW w:w="3256" w:type="dxa"/>
            <w:tcBorders>
              <w:bottom w:val="single" w:sz="4" w:space="0" w:color="auto"/>
            </w:tcBorders>
          </w:tcPr>
          <w:p w:rsidR="00524DDC" w:rsidRPr="004D588F" w:rsidRDefault="00524DDC" w:rsidP="00524DDC">
            <w:pPr>
              <w:rPr>
                <w:sz w:val="20"/>
                <w:szCs w:val="20"/>
              </w:rPr>
            </w:pPr>
            <w:r>
              <w:rPr>
                <w:sz w:val="20"/>
                <w:szCs w:val="20"/>
              </w:rPr>
              <w:t>Forecast before savings</w:t>
            </w:r>
          </w:p>
        </w:tc>
        <w:tc>
          <w:tcPr>
            <w:tcW w:w="1842" w:type="dxa"/>
            <w:tcBorders>
              <w:bottom w:val="single" w:sz="4" w:space="0" w:color="auto"/>
            </w:tcBorders>
          </w:tcPr>
          <w:p w:rsidR="00524DDC" w:rsidRPr="00563D18" w:rsidRDefault="00524DDC" w:rsidP="00524DDC">
            <w:pPr>
              <w:jc w:val="right"/>
              <w:rPr>
                <w:sz w:val="20"/>
                <w:szCs w:val="20"/>
              </w:rPr>
            </w:pPr>
            <w:r w:rsidRPr="00FB7ABB">
              <w:rPr>
                <w:noProof/>
                <w:sz w:val="20"/>
                <w:szCs w:val="20"/>
              </w:rPr>
              <w:t>0.497</w:t>
            </w:r>
          </w:p>
        </w:tc>
        <w:tc>
          <w:tcPr>
            <w:tcW w:w="1985" w:type="dxa"/>
            <w:tcBorders>
              <w:bottom w:val="single" w:sz="4" w:space="0" w:color="auto"/>
            </w:tcBorders>
          </w:tcPr>
          <w:p w:rsidR="00524DDC" w:rsidRPr="00563D18" w:rsidRDefault="00524DDC" w:rsidP="00524DDC">
            <w:pPr>
              <w:jc w:val="right"/>
              <w:rPr>
                <w:sz w:val="20"/>
                <w:szCs w:val="20"/>
              </w:rPr>
            </w:pPr>
            <w:r w:rsidRPr="00FB7ABB">
              <w:rPr>
                <w:noProof/>
                <w:sz w:val="20"/>
                <w:szCs w:val="20"/>
              </w:rPr>
              <w:t>0.685</w:t>
            </w:r>
          </w:p>
        </w:tc>
        <w:tc>
          <w:tcPr>
            <w:tcW w:w="2126" w:type="dxa"/>
            <w:tcBorders>
              <w:bottom w:val="single" w:sz="4" w:space="0" w:color="auto"/>
            </w:tcBorders>
          </w:tcPr>
          <w:p w:rsidR="00524DDC" w:rsidRPr="00563D18" w:rsidRDefault="00524DDC" w:rsidP="00524DDC">
            <w:pPr>
              <w:jc w:val="right"/>
              <w:rPr>
                <w:sz w:val="20"/>
                <w:szCs w:val="20"/>
              </w:rPr>
            </w:pPr>
            <w:r w:rsidRPr="00FB7ABB">
              <w:rPr>
                <w:noProof/>
                <w:sz w:val="20"/>
                <w:szCs w:val="20"/>
              </w:rPr>
              <w:t>0.696</w:t>
            </w:r>
          </w:p>
        </w:tc>
      </w:tr>
      <w:tr w:rsidR="00524DDC" w:rsidRPr="002B630A" w:rsidTr="00084304">
        <w:tc>
          <w:tcPr>
            <w:tcW w:w="3256" w:type="dxa"/>
            <w:tcBorders>
              <w:bottom w:val="single" w:sz="4" w:space="0" w:color="auto"/>
            </w:tcBorders>
          </w:tcPr>
          <w:p w:rsidR="00524DDC" w:rsidRDefault="00524DDC" w:rsidP="00524DDC">
            <w:pPr>
              <w:rPr>
                <w:sz w:val="20"/>
                <w:szCs w:val="20"/>
              </w:rPr>
            </w:pPr>
            <w:r>
              <w:rPr>
                <w:sz w:val="20"/>
                <w:szCs w:val="20"/>
              </w:rPr>
              <w:t>Budgeted savings (cumulative)</w:t>
            </w:r>
          </w:p>
        </w:tc>
        <w:tc>
          <w:tcPr>
            <w:tcW w:w="1842" w:type="dxa"/>
            <w:tcBorders>
              <w:bottom w:val="single" w:sz="4" w:space="0" w:color="auto"/>
            </w:tcBorders>
          </w:tcPr>
          <w:p w:rsidR="00524DDC" w:rsidRPr="00563D18" w:rsidRDefault="00524DDC" w:rsidP="00524DDC">
            <w:pPr>
              <w:jc w:val="right"/>
              <w:rPr>
                <w:sz w:val="20"/>
                <w:szCs w:val="20"/>
              </w:rPr>
            </w:pPr>
            <w:r w:rsidRPr="00FB7ABB">
              <w:rPr>
                <w:noProof/>
                <w:sz w:val="20"/>
                <w:szCs w:val="20"/>
              </w:rPr>
              <w:t>0.000</w:t>
            </w:r>
          </w:p>
        </w:tc>
        <w:tc>
          <w:tcPr>
            <w:tcW w:w="1985" w:type="dxa"/>
            <w:tcBorders>
              <w:bottom w:val="single" w:sz="4" w:space="0" w:color="auto"/>
            </w:tcBorders>
          </w:tcPr>
          <w:p w:rsidR="00524DDC" w:rsidRPr="00563D18" w:rsidRDefault="00524DDC" w:rsidP="00524DDC">
            <w:pPr>
              <w:jc w:val="right"/>
              <w:rPr>
                <w:sz w:val="20"/>
                <w:szCs w:val="20"/>
              </w:rPr>
            </w:pPr>
            <w:r w:rsidRPr="00FB7ABB">
              <w:rPr>
                <w:noProof/>
                <w:sz w:val="20"/>
                <w:szCs w:val="20"/>
              </w:rPr>
              <w:t>-0.378</w:t>
            </w:r>
          </w:p>
        </w:tc>
        <w:tc>
          <w:tcPr>
            <w:tcW w:w="2126" w:type="dxa"/>
            <w:tcBorders>
              <w:bottom w:val="single" w:sz="4" w:space="0" w:color="auto"/>
            </w:tcBorders>
          </w:tcPr>
          <w:p w:rsidR="00524DDC" w:rsidRPr="00563D18" w:rsidRDefault="00524DDC" w:rsidP="00524DDC">
            <w:pPr>
              <w:jc w:val="right"/>
              <w:rPr>
                <w:sz w:val="20"/>
                <w:szCs w:val="20"/>
              </w:rPr>
            </w:pPr>
            <w:r w:rsidRPr="00FB7ABB">
              <w:rPr>
                <w:noProof/>
                <w:sz w:val="20"/>
                <w:szCs w:val="20"/>
              </w:rPr>
              <w:t>-0.378</w:t>
            </w:r>
          </w:p>
        </w:tc>
      </w:tr>
      <w:tr w:rsidR="00524DDC" w:rsidRPr="002B630A" w:rsidTr="00CA2B52">
        <w:tc>
          <w:tcPr>
            <w:tcW w:w="3256" w:type="dxa"/>
            <w:shd w:val="clear" w:color="auto" w:fill="auto"/>
          </w:tcPr>
          <w:p w:rsidR="00524DDC" w:rsidRDefault="00524DDC" w:rsidP="00524DDC">
            <w:pPr>
              <w:rPr>
                <w:sz w:val="20"/>
                <w:szCs w:val="20"/>
              </w:rPr>
            </w:pPr>
            <w:r>
              <w:rPr>
                <w:sz w:val="20"/>
                <w:szCs w:val="20"/>
              </w:rPr>
              <w:t>Planned net expenditure</w:t>
            </w:r>
            <w:r w:rsidRPr="004D588F">
              <w:rPr>
                <w:sz w:val="20"/>
                <w:szCs w:val="20"/>
              </w:rPr>
              <w:t xml:space="preserve"> </w:t>
            </w:r>
          </w:p>
          <w:p w:rsidR="00524DDC" w:rsidRDefault="00524DDC" w:rsidP="00524DDC">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842" w:type="dxa"/>
            <w:shd w:val="clear" w:color="auto" w:fill="auto"/>
          </w:tcPr>
          <w:p w:rsidR="00524DDC" w:rsidRPr="002B630A" w:rsidRDefault="00524DDC" w:rsidP="00524DDC">
            <w:pPr>
              <w:jc w:val="right"/>
              <w:rPr>
                <w:sz w:val="20"/>
                <w:szCs w:val="20"/>
              </w:rPr>
            </w:pPr>
            <w:r w:rsidRPr="00FB7ABB">
              <w:rPr>
                <w:noProof/>
                <w:sz w:val="20"/>
                <w:szCs w:val="20"/>
              </w:rPr>
              <w:t>0.497</w:t>
            </w:r>
          </w:p>
        </w:tc>
        <w:tc>
          <w:tcPr>
            <w:tcW w:w="1985" w:type="dxa"/>
            <w:shd w:val="clear" w:color="auto" w:fill="auto"/>
          </w:tcPr>
          <w:p w:rsidR="00524DDC" w:rsidRPr="002B630A" w:rsidRDefault="00524DDC" w:rsidP="00524DDC">
            <w:pPr>
              <w:jc w:val="right"/>
              <w:rPr>
                <w:sz w:val="20"/>
                <w:szCs w:val="20"/>
              </w:rPr>
            </w:pPr>
            <w:r w:rsidRPr="00FB7ABB">
              <w:rPr>
                <w:noProof/>
                <w:sz w:val="20"/>
                <w:szCs w:val="20"/>
              </w:rPr>
              <w:t>0.307</w:t>
            </w:r>
          </w:p>
        </w:tc>
        <w:tc>
          <w:tcPr>
            <w:tcW w:w="2126" w:type="dxa"/>
            <w:shd w:val="clear" w:color="auto" w:fill="auto"/>
          </w:tcPr>
          <w:p w:rsidR="00524DDC" w:rsidRPr="002B630A" w:rsidRDefault="00524DDC" w:rsidP="00524DDC">
            <w:pPr>
              <w:jc w:val="right"/>
              <w:rPr>
                <w:sz w:val="20"/>
                <w:szCs w:val="20"/>
              </w:rPr>
            </w:pPr>
            <w:r w:rsidRPr="00FB7ABB">
              <w:rPr>
                <w:noProof/>
                <w:sz w:val="20"/>
                <w:szCs w:val="20"/>
              </w:rPr>
              <w:t>0.318</w:t>
            </w:r>
          </w:p>
        </w:tc>
      </w:tr>
      <w:tr w:rsidR="00524DDC" w:rsidRPr="002B630A" w:rsidTr="00084304">
        <w:tc>
          <w:tcPr>
            <w:tcW w:w="3256" w:type="dxa"/>
            <w:shd w:val="pct10" w:color="auto" w:fill="auto"/>
          </w:tcPr>
          <w:p w:rsidR="00524DDC" w:rsidRDefault="00524DDC" w:rsidP="00524DDC">
            <w:pPr>
              <w:rPr>
                <w:sz w:val="20"/>
                <w:szCs w:val="20"/>
              </w:rPr>
            </w:pPr>
          </w:p>
        </w:tc>
        <w:tc>
          <w:tcPr>
            <w:tcW w:w="1842" w:type="dxa"/>
            <w:shd w:val="pct10" w:color="auto" w:fill="auto"/>
          </w:tcPr>
          <w:p w:rsidR="00524DDC" w:rsidRPr="002B630A" w:rsidRDefault="00524DDC" w:rsidP="00524DDC">
            <w:pPr>
              <w:jc w:val="right"/>
              <w:rPr>
                <w:sz w:val="20"/>
                <w:szCs w:val="20"/>
              </w:rPr>
            </w:pPr>
          </w:p>
        </w:tc>
        <w:tc>
          <w:tcPr>
            <w:tcW w:w="1985" w:type="dxa"/>
            <w:shd w:val="pct10" w:color="auto" w:fill="auto"/>
          </w:tcPr>
          <w:p w:rsidR="00524DDC" w:rsidRPr="002B630A" w:rsidRDefault="00524DDC" w:rsidP="00524DDC">
            <w:pPr>
              <w:jc w:val="right"/>
              <w:rPr>
                <w:sz w:val="20"/>
                <w:szCs w:val="20"/>
              </w:rPr>
            </w:pPr>
          </w:p>
        </w:tc>
        <w:tc>
          <w:tcPr>
            <w:tcW w:w="2126" w:type="dxa"/>
            <w:shd w:val="pct10" w:color="auto" w:fill="auto"/>
          </w:tcPr>
          <w:p w:rsidR="00524DDC" w:rsidRPr="002B630A" w:rsidRDefault="00524DDC" w:rsidP="00524DDC">
            <w:pPr>
              <w:jc w:val="right"/>
              <w:rPr>
                <w:sz w:val="20"/>
                <w:szCs w:val="20"/>
              </w:rPr>
            </w:pPr>
          </w:p>
        </w:tc>
      </w:tr>
      <w:tr w:rsidR="00524DDC" w:rsidRPr="002B630A" w:rsidTr="0017431F">
        <w:tc>
          <w:tcPr>
            <w:tcW w:w="3256" w:type="dxa"/>
          </w:tcPr>
          <w:p w:rsidR="00524DDC" w:rsidRPr="00EA1D7C" w:rsidRDefault="00524DDC" w:rsidP="00524DDC">
            <w:pPr>
              <w:rPr>
                <w:sz w:val="20"/>
                <w:szCs w:val="20"/>
              </w:rPr>
            </w:pPr>
            <w:r>
              <w:rPr>
                <w:sz w:val="20"/>
                <w:szCs w:val="20"/>
              </w:rPr>
              <w:t>August 15 monitoring position</w:t>
            </w:r>
          </w:p>
        </w:tc>
        <w:tc>
          <w:tcPr>
            <w:tcW w:w="1842" w:type="dxa"/>
            <w:shd w:val="clear" w:color="auto" w:fill="auto"/>
          </w:tcPr>
          <w:p w:rsidR="00524DDC" w:rsidRPr="002B630A" w:rsidRDefault="00524DDC" w:rsidP="00524DDC">
            <w:pPr>
              <w:jc w:val="right"/>
              <w:rPr>
                <w:sz w:val="20"/>
                <w:szCs w:val="20"/>
              </w:rPr>
            </w:pPr>
            <w:r w:rsidRPr="00FB7ABB">
              <w:rPr>
                <w:noProof/>
                <w:sz w:val="20"/>
                <w:szCs w:val="20"/>
              </w:rPr>
              <w:t>-0.011</w:t>
            </w:r>
          </w:p>
        </w:tc>
        <w:tc>
          <w:tcPr>
            <w:tcW w:w="1985" w:type="dxa"/>
            <w:shd w:val="clear" w:color="auto" w:fill="auto"/>
          </w:tcPr>
          <w:p w:rsidR="00524DDC" w:rsidRPr="002B630A" w:rsidRDefault="00524DDC" w:rsidP="00524DDC">
            <w:pPr>
              <w:jc w:val="right"/>
              <w:rPr>
                <w:sz w:val="20"/>
                <w:szCs w:val="20"/>
              </w:rPr>
            </w:pPr>
          </w:p>
        </w:tc>
        <w:tc>
          <w:tcPr>
            <w:tcW w:w="2126" w:type="dxa"/>
            <w:shd w:val="clear" w:color="auto" w:fill="auto"/>
          </w:tcPr>
          <w:p w:rsidR="00524DDC" w:rsidRPr="002B630A" w:rsidRDefault="00524DDC" w:rsidP="00524DDC">
            <w:pPr>
              <w:jc w:val="right"/>
              <w:rPr>
                <w:sz w:val="20"/>
                <w:szCs w:val="20"/>
              </w:rPr>
            </w:pPr>
          </w:p>
        </w:tc>
      </w:tr>
      <w:tr w:rsidR="00524DDC" w:rsidRPr="002B630A" w:rsidTr="00CA2B52">
        <w:tc>
          <w:tcPr>
            <w:tcW w:w="3256" w:type="dxa"/>
          </w:tcPr>
          <w:p w:rsidR="00524DDC" w:rsidRPr="00EA1D7C" w:rsidRDefault="00524DDC" w:rsidP="00524DDC">
            <w:pPr>
              <w:rPr>
                <w:sz w:val="20"/>
                <w:szCs w:val="20"/>
              </w:rPr>
            </w:pPr>
            <w:r w:rsidRPr="00EA1D7C">
              <w:rPr>
                <w:sz w:val="20"/>
                <w:szCs w:val="20"/>
              </w:rPr>
              <w:t>Demand variations</w:t>
            </w:r>
            <w:r>
              <w:rPr>
                <w:sz w:val="20"/>
                <w:szCs w:val="20"/>
              </w:rPr>
              <w:t xml:space="preserve"> (cumulative)</w:t>
            </w:r>
          </w:p>
        </w:tc>
        <w:tc>
          <w:tcPr>
            <w:tcW w:w="1842" w:type="dxa"/>
            <w:tcBorders>
              <w:bottom w:val="single" w:sz="4" w:space="0" w:color="auto"/>
            </w:tcBorders>
          </w:tcPr>
          <w:p w:rsidR="00524DDC" w:rsidRPr="002B630A" w:rsidRDefault="00524DDC" w:rsidP="00524DDC">
            <w:pPr>
              <w:jc w:val="right"/>
              <w:rPr>
                <w:sz w:val="20"/>
                <w:szCs w:val="20"/>
              </w:rPr>
            </w:pPr>
          </w:p>
        </w:tc>
        <w:tc>
          <w:tcPr>
            <w:tcW w:w="1985"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c>
          <w:tcPr>
            <w:tcW w:w="2126"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r>
      <w:tr w:rsidR="00524DDC" w:rsidRPr="002B630A" w:rsidTr="00CA2B52">
        <w:tc>
          <w:tcPr>
            <w:tcW w:w="3256" w:type="dxa"/>
          </w:tcPr>
          <w:p w:rsidR="00524DDC" w:rsidRPr="00EA1D7C" w:rsidRDefault="00524DDC" w:rsidP="00524DDC">
            <w:pPr>
              <w:rPr>
                <w:sz w:val="20"/>
                <w:szCs w:val="20"/>
              </w:rPr>
            </w:pPr>
            <w:r>
              <w:rPr>
                <w:sz w:val="20"/>
                <w:szCs w:val="20"/>
              </w:rPr>
              <w:t>Price variations (cumulative)</w:t>
            </w:r>
          </w:p>
        </w:tc>
        <w:tc>
          <w:tcPr>
            <w:tcW w:w="1842" w:type="dxa"/>
            <w:tcBorders>
              <w:bottom w:val="single" w:sz="4" w:space="0" w:color="auto"/>
            </w:tcBorders>
          </w:tcPr>
          <w:p w:rsidR="00524DDC" w:rsidRPr="002B630A" w:rsidRDefault="00524DDC" w:rsidP="00524DDC">
            <w:pPr>
              <w:jc w:val="right"/>
              <w:rPr>
                <w:sz w:val="20"/>
                <w:szCs w:val="20"/>
              </w:rPr>
            </w:pPr>
          </w:p>
        </w:tc>
        <w:tc>
          <w:tcPr>
            <w:tcW w:w="1985" w:type="dxa"/>
            <w:tcBorders>
              <w:bottom w:val="single" w:sz="4" w:space="0" w:color="auto"/>
            </w:tcBorders>
          </w:tcPr>
          <w:p w:rsidR="00524DDC" w:rsidRPr="002B630A" w:rsidRDefault="00524DDC" w:rsidP="00524DDC">
            <w:pPr>
              <w:jc w:val="right"/>
              <w:rPr>
                <w:sz w:val="20"/>
                <w:szCs w:val="20"/>
              </w:rPr>
            </w:pPr>
            <w:r w:rsidRPr="00FB7ABB">
              <w:rPr>
                <w:noProof/>
                <w:sz w:val="20"/>
                <w:szCs w:val="20"/>
              </w:rPr>
              <w:t>-0.002</w:t>
            </w:r>
          </w:p>
        </w:tc>
        <w:tc>
          <w:tcPr>
            <w:tcW w:w="2126" w:type="dxa"/>
            <w:tcBorders>
              <w:bottom w:val="single" w:sz="4" w:space="0" w:color="auto"/>
            </w:tcBorders>
          </w:tcPr>
          <w:p w:rsidR="00524DDC" w:rsidRPr="002B630A" w:rsidRDefault="00524DDC" w:rsidP="00524DDC">
            <w:pPr>
              <w:jc w:val="right"/>
              <w:rPr>
                <w:sz w:val="20"/>
                <w:szCs w:val="20"/>
              </w:rPr>
            </w:pPr>
            <w:r w:rsidRPr="00FB7ABB">
              <w:rPr>
                <w:noProof/>
                <w:sz w:val="20"/>
                <w:szCs w:val="20"/>
              </w:rPr>
              <w:t>-0.005</w:t>
            </w:r>
          </w:p>
        </w:tc>
      </w:tr>
      <w:tr w:rsidR="00524DDC" w:rsidRPr="002B630A" w:rsidTr="00CA2B52">
        <w:tc>
          <w:tcPr>
            <w:tcW w:w="3256" w:type="dxa"/>
          </w:tcPr>
          <w:p w:rsidR="00524DDC" w:rsidRPr="004D588F" w:rsidRDefault="00524DDC" w:rsidP="00524DDC">
            <w:pPr>
              <w:rPr>
                <w:sz w:val="20"/>
                <w:szCs w:val="20"/>
              </w:rPr>
            </w:pPr>
            <w:r>
              <w:rPr>
                <w:sz w:val="20"/>
                <w:szCs w:val="20"/>
              </w:rPr>
              <w:t>Undeliverable savings (cumulative)</w:t>
            </w:r>
          </w:p>
        </w:tc>
        <w:tc>
          <w:tcPr>
            <w:tcW w:w="1842"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c>
          <w:tcPr>
            <w:tcW w:w="1985"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c>
          <w:tcPr>
            <w:tcW w:w="2126"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r>
      <w:tr w:rsidR="00524DDC" w:rsidRPr="002B630A" w:rsidTr="00CA2B52">
        <w:tc>
          <w:tcPr>
            <w:tcW w:w="3256" w:type="dxa"/>
          </w:tcPr>
          <w:p w:rsidR="00524DDC" w:rsidRDefault="00524DDC" w:rsidP="00524DDC">
            <w:pPr>
              <w:rPr>
                <w:sz w:val="20"/>
                <w:szCs w:val="20"/>
              </w:rPr>
            </w:pPr>
            <w:r>
              <w:rPr>
                <w:sz w:val="20"/>
                <w:szCs w:val="20"/>
              </w:rPr>
              <w:t>Loss of grant (cumulative)</w:t>
            </w:r>
          </w:p>
        </w:tc>
        <w:tc>
          <w:tcPr>
            <w:tcW w:w="1842"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c>
          <w:tcPr>
            <w:tcW w:w="1985"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c>
          <w:tcPr>
            <w:tcW w:w="2126"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r>
      <w:tr w:rsidR="00524DDC" w:rsidRPr="002B630A" w:rsidTr="00D64925">
        <w:tc>
          <w:tcPr>
            <w:tcW w:w="3256" w:type="dxa"/>
            <w:tcBorders>
              <w:right w:val="single" w:sz="4" w:space="0" w:color="auto"/>
            </w:tcBorders>
            <w:shd w:val="clear" w:color="auto" w:fill="BFBFBF" w:themeFill="background1" w:themeFillShade="BF"/>
          </w:tcPr>
          <w:p w:rsidR="00524DDC" w:rsidRPr="002B630A" w:rsidRDefault="00524DDC" w:rsidP="00524DDC">
            <w:pPr>
              <w:rPr>
                <w:sz w:val="20"/>
                <w:szCs w:val="20"/>
              </w:rPr>
            </w:pPr>
            <w:r>
              <w:rPr>
                <w:b/>
                <w:sz w:val="20"/>
                <w:szCs w:val="20"/>
              </w:rPr>
              <w:t>Revised Resource Requirement</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4DDC" w:rsidRPr="002B630A" w:rsidRDefault="00524DDC" w:rsidP="00524DDC">
            <w:pPr>
              <w:jc w:val="right"/>
              <w:rPr>
                <w:sz w:val="20"/>
                <w:szCs w:val="20"/>
              </w:rPr>
            </w:pPr>
            <w:r w:rsidRPr="00FB7ABB">
              <w:rPr>
                <w:noProof/>
                <w:sz w:val="20"/>
                <w:szCs w:val="20"/>
              </w:rPr>
              <w:t>0.486</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4DDC" w:rsidRPr="002B630A" w:rsidRDefault="00524DDC" w:rsidP="00524DDC">
            <w:pPr>
              <w:jc w:val="right"/>
              <w:rPr>
                <w:sz w:val="20"/>
                <w:szCs w:val="20"/>
              </w:rPr>
            </w:pPr>
            <w:r w:rsidRPr="00FB7ABB">
              <w:rPr>
                <w:noProof/>
                <w:sz w:val="20"/>
                <w:szCs w:val="20"/>
              </w:rPr>
              <w:t>0.305</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4DDC" w:rsidRPr="002B630A" w:rsidRDefault="00524DDC" w:rsidP="00524DDC">
            <w:pPr>
              <w:jc w:val="right"/>
              <w:rPr>
                <w:sz w:val="20"/>
                <w:szCs w:val="20"/>
              </w:rPr>
            </w:pPr>
            <w:r w:rsidRPr="00FB7ABB">
              <w:rPr>
                <w:noProof/>
                <w:sz w:val="20"/>
                <w:szCs w:val="20"/>
              </w:rPr>
              <w:t>0.313</w:t>
            </w:r>
          </w:p>
        </w:tc>
      </w:tr>
      <w:tr w:rsidR="00524DDC" w:rsidRPr="002B630A" w:rsidTr="00D64925">
        <w:tc>
          <w:tcPr>
            <w:tcW w:w="3256" w:type="dxa"/>
            <w:tcBorders>
              <w:right w:val="single" w:sz="4" w:space="0" w:color="auto"/>
            </w:tcBorders>
            <w:shd w:val="clear" w:color="auto" w:fill="auto"/>
          </w:tcPr>
          <w:p w:rsidR="00524DDC" w:rsidRPr="00EA1D7C" w:rsidRDefault="00524DDC" w:rsidP="00524DDC">
            <w:pPr>
              <w:rPr>
                <w:b/>
                <w:sz w:val="20"/>
                <w:szCs w:val="20"/>
              </w:rPr>
            </w:pPr>
            <w:r>
              <w:rPr>
                <w:sz w:val="20"/>
                <w:szCs w:val="20"/>
              </w:rPr>
              <w:t>Additional savings target for approval (cumulative)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DDC" w:rsidRPr="002B630A" w:rsidRDefault="00524DDC" w:rsidP="00524DDC">
            <w:pPr>
              <w:jc w:val="right"/>
              <w:rPr>
                <w:sz w:val="20"/>
                <w:szCs w:val="20"/>
              </w:rPr>
            </w:pPr>
            <w:r w:rsidRPr="00FB7ABB">
              <w:rPr>
                <w:noProof/>
                <w:sz w:val="20"/>
                <w:szCs w:val="20"/>
              </w:rPr>
              <w:t>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DDC" w:rsidRPr="002B630A" w:rsidRDefault="00524DDC" w:rsidP="00524DDC">
            <w:pPr>
              <w:jc w:val="right"/>
              <w:rPr>
                <w:sz w:val="20"/>
                <w:szCs w:val="20"/>
              </w:rPr>
            </w:pPr>
            <w:r>
              <w:rPr>
                <w:noProof/>
                <w:sz w:val="20"/>
                <w:szCs w:val="20"/>
              </w:rPr>
              <w:t>-0.305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DDC" w:rsidRPr="002B630A" w:rsidRDefault="00524DDC" w:rsidP="00524DDC">
            <w:pPr>
              <w:jc w:val="right"/>
              <w:rPr>
                <w:sz w:val="20"/>
                <w:szCs w:val="20"/>
              </w:rPr>
            </w:pPr>
            <w:r w:rsidRPr="00FB7ABB">
              <w:rPr>
                <w:noProof/>
                <w:sz w:val="20"/>
                <w:szCs w:val="20"/>
              </w:rPr>
              <w:t>-0.3</w:t>
            </w:r>
            <w:r>
              <w:rPr>
                <w:noProof/>
                <w:sz w:val="20"/>
                <w:szCs w:val="20"/>
              </w:rPr>
              <w:t>13</w:t>
            </w:r>
          </w:p>
        </w:tc>
      </w:tr>
      <w:tr w:rsidR="00524DDC" w:rsidRPr="002B630A" w:rsidTr="008E30D2">
        <w:tc>
          <w:tcPr>
            <w:tcW w:w="3256" w:type="dxa"/>
            <w:tcBorders>
              <w:right w:val="single" w:sz="4" w:space="0" w:color="auto"/>
            </w:tcBorders>
            <w:shd w:val="clear" w:color="auto" w:fill="BFBFBF" w:themeFill="background1" w:themeFillShade="BF"/>
          </w:tcPr>
          <w:p w:rsidR="00524DDC" w:rsidRPr="008E30D2" w:rsidRDefault="00524DDC" w:rsidP="00524DDC">
            <w:pPr>
              <w:rPr>
                <w:b/>
                <w:sz w:val="20"/>
                <w:szCs w:val="20"/>
              </w:rPr>
            </w:pPr>
            <w:r w:rsidRPr="008E30D2">
              <w:rPr>
                <w:b/>
                <w:sz w:val="20"/>
                <w:szCs w:val="20"/>
              </w:rPr>
              <w:t>Proposed revised budget</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4DDC" w:rsidRPr="008E30D2" w:rsidRDefault="00524DDC" w:rsidP="00524DDC">
            <w:pPr>
              <w:jc w:val="right"/>
              <w:rPr>
                <w:b/>
                <w:sz w:val="20"/>
                <w:szCs w:val="20"/>
              </w:rPr>
            </w:pPr>
            <w:r w:rsidRPr="00FB7ABB">
              <w:rPr>
                <w:b/>
                <w:noProof/>
                <w:sz w:val="20"/>
                <w:szCs w:val="20"/>
              </w:rPr>
              <w:t>0.486</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4DDC" w:rsidRPr="008E30D2" w:rsidRDefault="00524DDC" w:rsidP="00524DDC">
            <w:pPr>
              <w:jc w:val="right"/>
              <w:rPr>
                <w:b/>
                <w:sz w:val="20"/>
                <w:szCs w:val="20"/>
              </w:rPr>
            </w:pPr>
            <w:r>
              <w:rPr>
                <w:b/>
                <w:noProof/>
                <w:sz w:val="20"/>
                <w:szCs w:val="20"/>
              </w:rPr>
              <w:t>0.000</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4DDC" w:rsidRPr="008E30D2" w:rsidRDefault="00524DDC" w:rsidP="00524DDC">
            <w:pPr>
              <w:jc w:val="right"/>
              <w:rPr>
                <w:b/>
                <w:sz w:val="20"/>
                <w:szCs w:val="20"/>
              </w:rPr>
            </w:pPr>
            <w:r>
              <w:rPr>
                <w:b/>
                <w:noProof/>
                <w:sz w:val="20"/>
                <w:szCs w:val="20"/>
              </w:rPr>
              <w:t>0.000</w:t>
            </w:r>
          </w:p>
        </w:tc>
      </w:tr>
      <w:tr w:rsidR="00524DDC" w:rsidRPr="002B630A" w:rsidTr="00CA2B52">
        <w:tc>
          <w:tcPr>
            <w:tcW w:w="3256" w:type="dxa"/>
            <w:tcBorders>
              <w:bottom w:val="single" w:sz="4" w:space="0" w:color="auto"/>
            </w:tcBorders>
          </w:tcPr>
          <w:p w:rsidR="00524DDC" w:rsidRPr="002B630A" w:rsidRDefault="00524DDC" w:rsidP="00524DDC">
            <w:pPr>
              <w:rPr>
                <w:sz w:val="20"/>
                <w:szCs w:val="20"/>
              </w:rPr>
            </w:pPr>
            <w:r>
              <w:rPr>
                <w:sz w:val="20"/>
                <w:szCs w:val="20"/>
              </w:rPr>
              <w:t>Proposed risk  reserve provision (discrete year)</w:t>
            </w:r>
          </w:p>
        </w:tc>
        <w:tc>
          <w:tcPr>
            <w:tcW w:w="1842" w:type="dxa"/>
            <w:tcBorders>
              <w:top w:val="single" w:sz="4" w:space="0" w:color="auto"/>
              <w:bottom w:val="single" w:sz="4" w:space="0" w:color="auto"/>
            </w:tcBorders>
          </w:tcPr>
          <w:p w:rsidR="00524DDC" w:rsidRPr="002B630A" w:rsidRDefault="00524DDC" w:rsidP="00524DDC">
            <w:pPr>
              <w:jc w:val="right"/>
              <w:rPr>
                <w:sz w:val="20"/>
                <w:szCs w:val="20"/>
              </w:rPr>
            </w:pPr>
          </w:p>
        </w:tc>
        <w:tc>
          <w:tcPr>
            <w:tcW w:w="1985" w:type="dxa"/>
            <w:tcBorders>
              <w:top w:val="single" w:sz="4" w:space="0" w:color="auto"/>
              <w:bottom w:val="single" w:sz="4" w:space="0" w:color="auto"/>
            </w:tcBorders>
          </w:tcPr>
          <w:p w:rsidR="00524DDC" w:rsidRPr="002B630A" w:rsidRDefault="00524DDC" w:rsidP="00524DDC">
            <w:pPr>
              <w:jc w:val="right"/>
              <w:rPr>
                <w:sz w:val="20"/>
                <w:szCs w:val="20"/>
              </w:rPr>
            </w:pPr>
            <w:r>
              <w:rPr>
                <w:noProof/>
                <w:sz w:val="20"/>
                <w:szCs w:val="20"/>
              </w:rPr>
              <w:t>0.305</w:t>
            </w:r>
          </w:p>
        </w:tc>
        <w:tc>
          <w:tcPr>
            <w:tcW w:w="2126" w:type="dxa"/>
            <w:tcBorders>
              <w:top w:val="single" w:sz="4" w:space="0" w:color="auto"/>
              <w:bottom w:val="single" w:sz="4" w:space="0" w:color="auto"/>
            </w:tcBorders>
          </w:tcPr>
          <w:p w:rsidR="00524DDC" w:rsidRPr="002B630A" w:rsidRDefault="00524DDC" w:rsidP="00524DDC">
            <w:pPr>
              <w:jc w:val="right"/>
              <w:rPr>
                <w:sz w:val="20"/>
                <w:szCs w:val="20"/>
              </w:rPr>
            </w:pPr>
            <w:r w:rsidRPr="00FB7ABB">
              <w:rPr>
                <w:noProof/>
                <w:sz w:val="20"/>
                <w:szCs w:val="20"/>
              </w:rPr>
              <w:t>0.3</w:t>
            </w:r>
            <w:r>
              <w:rPr>
                <w:noProof/>
                <w:sz w:val="20"/>
                <w:szCs w:val="20"/>
              </w:rPr>
              <w:t>13</w:t>
            </w:r>
          </w:p>
        </w:tc>
      </w:tr>
      <w:tr w:rsidR="00452C66" w:rsidRPr="002B630A" w:rsidTr="00596DAE">
        <w:trPr>
          <w:trHeight w:val="1826"/>
        </w:trPr>
        <w:tc>
          <w:tcPr>
            <w:tcW w:w="3256" w:type="dxa"/>
          </w:tcPr>
          <w:p w:rsidR="00452C66" w:rsidRPr="003815C8" w:rsidRDefault="00F635E9" w:rsidP="00452C66">
            <w:pPr>
              <w:rPr>
                <w:b/>
                <w:sz w:val="20"/>
                <w:szCs w:val="20"/>
              </w:rPr>
            </w:pPr>
            <w:r w:rsidRPr="003815C8">
              <w:rPr>
                <w:b/>
                <w:sz w:val="20"/>
                <w:szCs w:val="20"/>
              </w:rPr>
              <w:t>Policy d</w:t>
            </w:r>
            <w:r w:rsidR="00452C66" w:rsidRPr="003815C8">
              <w:rPr>
                <w:b/>
                <w:sz w:val="20"/>
                <w:szCs w:val="20"/>
              </w:rPr>
              <w:t xml:space="preserve">ecisions needed to stop the service </w:t>
            </w:r>
          </w:p>
        </w:tc>
        <w:tc>
          <w:tcPr>
            <w:tcW w:w="5953" w:type="dxa"/>
            <w:gridSpan w:val="3"/>
          </w:tcPr>
          <w:p w:rsidR="0085404A" w:rsidRDefault="002D3207" w:rsidP="0085404A">
            <w:pPr>
              <w:rPr>
                <w:sz w:val="20"/>
                <w:szCs w:val="20"/>
              </w:rPr>
            </w:pPr>
            <w:r w:rsidRPr="0085404A">
              <w:rPr>
                <w:sz w:val="20"/>
                <w:szCs w:val="20"/>
              </w:rPr>
              <w:t>Approval to</w:t>
            </w:r>
            <w:r w:rsidR="0085404A">
              <w:rPr>
                <w:sz w:val="20"/>
                <w:szCs w:val="20"/>
              </w:rPr>
              <w:t>:</w:t>
            </w:r>
          </w:p>
          <w:p w:rsidR="002D3207" w:rsidRPr="0085404A" w:rsidRDefault="0085404A" w:rsidP="0085404A">
            <w:pPr>
              <w:pStyle w:val="ListParagraph"/>
              <w:numPr>
                <w:ilvl w:val="0"/>
                <w:numId w:val="5"/>
              </w:numPr>
              <w:rPr>
                <w:rFonts w:ascii="Arial" w:hAnsi="Arial" w:cs="Arial"/>
                <w:sz w:val="20"/>
                <w:szCs w:val="20"/>
              </w:rPr>
            </w:pPr>
            <w:r>
              <w:rPr>
                <w:sz w:val="20"/>
                <w:szCs w:val="20"/>
              </w:rPr>
              <w:t>C</w:t>
            </w:r>
            <w:r w:rsidR="002D3207" w:rsidRPr="0085404A">
              <w:rPr>
                <w:sz w:val="20"/>
                <w:szCs w:val="20"/>
              </w:rPr>
              <w:t xml:space="preserve">ease the service </w:t>
            </w:r>
            <w:r w:rsidR="005F21E6">
              <w:rPr>
                <w:sz w:val="20"/>
                <w:szCs w:val="20"/>
              </w:rPr>
              <w:t xml:space="preserve">completely by </w:t>
            </w:r>
            <w:r w:rsidR="002D3207" w:rsidRPr="0085404A">
              <w:rPr>
                <w:sz w:val="20"/>
                <w:szCs w:val="20"/>
              </w:rPr>
              <w:t>1 April 2018</w:t>
            </w:r>
            <w:r w:rsidR="005F21E6">
              <w:rPr>
                <w:sz w:val="20"/>
                <w:szCs w:val="20"/>
              </w:rPr>
              <w:t>, with a phased reduction in service as soon as practicable from April 2016.</w:t>
            </w:r>
          </w:p>
          <w:p w:rsidR="00452C66" w:rsidRPr="005F21E6" w:rsidRDefault="005F21E6" w:rsidP="005F21E6">
            <w:pPr>
              <w:pStyle w:val="ListParagraph"/>
              <w:numPr>
                <w:ilvl w:val="0"/>
                <w:numId w:val="5"/>
              </w:numPr>
              <w:rPr>
                <w:rFonts w:ascii="Arial" w:hAnsi="Arial" w:cs="Arial"/>
                <w:sz w:val="20"/>
                <w:szCs w:val="20"/>
              </w:rPr>
            </w:pPr>
            <w:r>
              <w:rPr>
                <w:sz w:val="20"/>
                <w:szCs w:val="20"/>
              </w:rPr>
              <w:t xml:space="preserve">Remove </w:t>
            </w:r>
            <w:r w:rsidR="002D3207" w:rsidRPr="002D3207">
              <w:rPr>
                <w:sz w:val="20"/>
                <w:szCs w:val="20"/>
              </w:rPr>
              <w:t>from</w:t>
            </w:r>
            <w:r w:rsidR="00F1481D" w:rsidRPr="002D3207">
              <w:rPr>
                <w:sz w:val="20"/>
                <w:szCs w:val="20"/>
              </w:rPr>
              <w:t xml:space="preserve"> </w:t>
            </w:r>
            <w:r>
              <w:rPr>
                <w:sz w:val="20"/>
                <w:szCs w:val="20"/>
              </w:rPr>
              <w:t>the revenue budget from April 2016 and fund from reserves during the transition period.</w:t>
            </w:r>
          </w:p>
          <w:p w:rsidR="005F21E6" w:rsidRPr="005F21E6" w:rsidRDefault="005F21E6" w:rsidP="005F21E6">
            <w:pPr>
              <w:pStyle w:val="ListParagraph"/>
              <w:numPr>
                <w:ilvl w:val="0"/>
                <w:numId w:val="5"/>
              </w:numPr>
              <w:rPr>
                <w:rFonts w:ascii="Arial" w:hAnsi="Arial" w:cs="Arial"/>
                <w:sz w:val="20"/>
                <w:szCs w:val="20"/>
              </w:rPr>
            </w:pPr>
            <w:r>
              <w:rPr>
                <w:sz w:val="20"/>
                <w:szCs w:val="20"/>
              </w:rPr>
              <w:t>Retention of active travel network and transfer its maintenance to the highway service.</w:t>
            </w:r>
          </w:p>
        </w:tc>
      </w:tr>
      <w:tr w:rsidR="00452C66" w:rsidRPr="002B630A" w:rsidTr="00596DAE">
        <w:trPr>
          <w:trHeight w:val="349"/>
        </w:trPr>
        <w:tc>
          <w:tcPr>
            <w:tcW w:w="3256" w:type="dxa"/>
          </w:tcPr>
          <w:p w:rsidR="00452C66" w:rsidRPr="003815C8" w:rsidRDefault="00452C66" w:rsidP="00D132D1">
            <w:pPr>
              <w:rPr>
                <w:b/>
                <w:sz w:val="20"/>
                <w:szCs w:val="20"/>
              </w:rPr>
            </w:pPr>
            <w:r w:rsidRPr="003815C8">
              <w:rPr>
                <w:b/>
                <w:sz w:val="20"/>
                <w:szCs w:val="20"/>
              </w:rPr>
              <w:t>Impact upon service</w:t>
            </w:r>
          </w:p>
        </w:tc>
        <w:tc>
          <w:tcPr>
            <w:tcW w:w="5953" w:type="dxa"/>
            <w:gridSpan w:val="3"/>
          </w:tcPr>
          <w:p w:rsidR="00452C66" w:rsidRPr="003A04B9" w:rsidRDefault="003815C8" w:rsidP="005F21E6">
            <w:pPr>
              <w:pStyle w:val="ListParagraph"/>
              <w:numPr>
                <w:ilvl w:val="0"/>
                <w:numId w:val="8"/>
              </w:numPr>
              <w:rPr>
                <w:sz w:val="20"/>
                <w:szCs w:val="20"/>
              </w:rPr>
            </w:pPr>
            <w:r w:rsidRPr="003A04B9">
              <w:rPr>
                <w:sz w:val="20"/>
                <w:szCs w:val="20"/>
              </w:rPr>
              <w:t xml:space="preserve">The service will cease </w:t>
            </w:r>
            <w:r w:rsidR="005F21E6">
              <w:rPr>
                <w:sz w:val="20"/>
                <w:szCs w:val="20"/>
              </w:rPr>
              <w:t>completely by</w:t>
            </w:r>
            <w:r w:rsidRPr="003A04B9">
              <w:rPr>
                <w:sz w:val="20"/>
                <w:szCs w:val="20"/>
              </w:rPr>
              <w:t xml:space="preserve"> 1 April 2018</w:t>
            </w:r>
          </w:p>
        </w:tc>
      </w:tr>
      <w:tr w:rsidR="00452C66" w:rsidRPr="002B630A" w:rsidTr="00990BCD">
        <w:trPr>
          <w:trHeight w:val="2533"/>
        </w:trPr>
        <w:tc>
          <w:tcPr>
            <w:tcW w:w="3256" w:type="dxa"/>
          </w:tcPr>
          <w:p w:rsidR="00452C66" w:rsidRPr="003815C8" w:rsidRDefault="00452C66" w:rsidP="00452C66">
            <w:pPr>
              <w:rPr>
                <w:b/>
                <w:sz w:val="20"/>
                <w:szCs w:val="20"/>
              </w:rPr>
            </w:pPr>
            <w:r w:rsidRPr="003815C8">
              <w:rPr>
                <w:b/>
                <w:sz w:val="20"/>
                <w:szCs w:val="20"/>
              </w:rPr>
              <w:t>Actions needed to stop the service/</w:t>
            </w:r>
          </w:p>
          <w:p w:rsidR="00452C66" w:rsidRPr="003815C8" w:rsidRDefault="00452C66" w:rsidP="00452C66">
            <w:pPr>
              <w:rPr>
                <w:b/>
                <w:sz w:val="20"/>
                <w:szCs w:val="20"/>
              </w:rPr>
            </w:pPr>
            <w:r w:rsidRPr="003815C8">
              <w:rPr>
                <w:b/>
                <w:sz w:val="20"/>
                <w:szCs w:val="20"/>
              </w:rPr>
              <w:t>Timetable for cessation of service</w:t>
            </w:r>
          </w:p>
        </w:tc>
        <w:tc>
          <w:tcPr>
            <w:tcW w:w="5953" w:type="dxa"/>
            <w:gridSpan w:val="3"/>
          </w:tcPr>
          <w:p w:rsidR="00596DAE" w:rsidRPr="00596DAE" w:rsidRDefault="005F21E6" w:rsidP="00673DDA">
            <w:pPr>
              <w:pStyle w:val="ListParagraph"/>
              <w:numPr>
                <w:ilvl w:val="0"/>
                <w:numId w:val="6"/>
              </w:numPr>
              <w:ind w:left="360"/>
              <w:rPr>
                <w:sz w:val="20"/>
                <w:szCs w:val="20"/>
              </w:rPr>
            </w:pPr>
            <w:r w:rsidRPr="00E51A8D">
              <w:rPr>
                <w:color w:val="000000" w:themeColor="text1"/>
                <w:sz w:val="20"/>
                <w:szCs w:val="20"/>
              </w:rPr>
              <w:t>Development of an exit programme by 31</w:t>
            </w:r>
            <w:r w:rsidRPr="00E51A8D">
              <w:rPr>
                <w:color w:val="000000" w:themeColor="text1"/>
                <w:sz w:val="20"/>
                <w:szCs w:val="20"/>
                <w:vertAlign w:val="superscript"/>
              </w:rPr>
              <w:t>st</w:t>
            </w:r>
            <w:r w:rsidRPr="00E51A8D">
              <w:rPr>
                <w:color w:val="000000" w:themeColor="text1"/>
                <w:sz w:val="20"/>
                <w:szCs w:val="20"/>
              </w:rPr>
              <w:t xml:space="preserve"> December 2016</w:t>
            </w:r>
          </w:p>
          <w:p w:rsidR="00596DAE" w:rsidRPr="00596DAE" w:rsidRDefault="005F21E6" w:rsidP="00837E2C">
            <w:pPr>
              <w:pStyle w:val="ListParagraph"/>
              <w:numPr>
                <w:ilvl w:val="0"/>
                <w:numId w:val="6"/>
              </w:numPr>
              <w:ind w:left="360"/>
              <w:rPr>
                <w:sz w:val="20"/>
                <w:szCs w:val="20"/>
              </w:rPr>
            </w:pPr>
            <w:r w:rsidRPr="00596DAE">
              <w:rPr>
                <w:color w:val="000000" w:themeColor="text1"/>
                <w:sz w:val="20"/>
                <w:szCs w:val="20"/>
              </w:rPr>
              <w:t>Commence cessation of the service from 1</w:t>
            </w:r>
            <w:r w:rsidRPr="00596DAE">
              <w:rPr>
                <w:color w:val="000000" w:themeColor="text1"/>
                <w:sz w:val="20"/>
                <w:szCs w:val="20"/>
                <w:vertAlign w:val="superscript"/>
              </w:rPr>
              <w:t>st</w:t>
            </w:r>
            <w:r w:rsidRPr="00596DAE">
              <w:rPr>
                <w:color w:val="000000" w:themeColor="text1"/>
                <w:sz w:val="20"/>
                <w:szCs w:val="20"/>
              </w:rPr>
              <w:t xml:space="preserve">  April 2016</w:t>
            </w:r>
          </w:p>
          <w:p w:rsidR="00596DAE" w:rsidRPr="00596DAE" w:rsidRDefault="005F21E6" w:rsidP="00596DAE">
            <w:pPr>
              <w:pStyle w:val="ListParagraph"/>
              <w:numPr>
                <w:ilvl w:val="0"/>
                <w:numId w:val="6"/>
              </w:numPr>
              <w:ind w:left="360"/>
              <w:rPr>
                <w:sz w:val="20"/>
                <w:szCs w:val="20"/>
              </w:rPr>
            </w:pPr>
            <w:r w:rsidRPr="00596DAE">
              <w:rPr>
                <w:color w:val="000000" w:themeColor="text1"/>
                <w:sz w:val="20"/>
                <w:szCs w:val="20"/>
              </w:rPr>
              <w:t>Explore opportunities with partners</w:t>
            </w:r>
            <w:r w:rsidR="008B6986" w:rsidRPr="00596DAE">
              <w:rPr>
                <w:color w:val="000000" w:themeColor="text1"/>
                <w:sz w:val="20"/>
                <w:szCs w:val="20"/>
              </w:rPr>
              <w:t xml:space="preserve">, </w:t>
            </w:r>
            <w:r w:rsidR="00596DAE" w:rsidRPr="00596DAE">
              <w:rPr>
                <w:color w:val="000000" w:themeColor="text1"/>
                <w:sz w:val="20"/>
                <w:szCs w:val="20"/>
              </w:rPr>
              <w:t>volunteers</w:t>
            </w:r>
            <w:r w:rsidRPr="00596DAE">
              <w:rPr>
                <w:color w:val="000000" w:themeColor="text1"/>
                <w:sz w:val="20"/>
                <w:szCs w:val="20"/>
              </w:rPr>
              <w:t xml:space="preserve"> and the local community </w:t>
            </w:r>
            <w:r w:rsidR="008B6986" w:rsidRPr="00596DAE">
              <w:rPr>
                <w:color w:val="000000" w:themeColor="text1"/>
                <w:sz w:val="20"/>
                <w:szCs w:val="20"/>
              </w:rPr>
              <w:t xml:space="preserve">on alternative delivery models and potential </w:t>
            </w:r>
            <w:r w:rsidRPr="00596DAE">
              <w:rPr>
                <w:color w:val="000000" w:themeColor="text1"/>
                <w:sz w:val="20"/>
                <w:szCs w:val="20"/>
              </w:rPr>
              <w:t>for the transfer of assets</w:t>
            </w:r>
            <w:r w:rsidR="00596DAE">
              <w:rPr>
                <w:color w:val="000000" w:themeColor="text1"/>
                <w:sz w:val="20"/>
                <w:szCs w:val="20"/>
              </w:rPr>
              <w:t>.</w:t>
            </w:r>
          </w:p>
          <w:p w:rsidR="00ED4F12" w:rsidRPr="005F21E6" w:rsidRDefault="008B6986" w:rsidP="00990BCD">
            <w:pPr>
              <w:pStyle w:val="ListParagraph"/>
              <w:numPr>
                <w:ilvl w:val="0"/>
                <w:numId w:val="6"/>
              </w:numPr>
              <w:ind w:left="360"/>
              <w:rPr>
                <w:sz w:val="20"/>
                <w:szCs w:val="20"/>
              </w:rPr>
            </w:pPr>
            <w:r>
              <w:rPr>
                <w:color w:val="000000" w:themeColor="text1"/>
                <w:sz w:val="20"/>
                <w:szCs w:val="20"/>
              </w:rPr>
              <w:t xml:space="preserve">Development of  </w:t>
            </w:r>
            <w:r w:rsidR="005F21E6">
              <w:rPr>
                <w:color w:val="000000" w:themeColor="text1"/>
                <w:sz w:val="20"/>
                <w:szCs w:val="20"/>
              </w:rPr>
              <w:t>a disposal / transfer programme</w:t>
            </w:r>
          </w:p>
          <w:p w:rsidR="008B6986" w:rsidRPr="008B6986" w:rsidRDefault="008B6986" w:rsidP="008D4AD8">
            <w:pPr>
              <w:pStyle w:val="ListParagraph"/>
              <w:numPr>
                <w:ilvl w:val="0"/>
                <w:numId w:val="6"/>
              </w:numPr>
              <w:ind w:left="360"/>
              <w:rPr>
                <w:sz w:val="20"/>
                <w:szCs w:val="20"/>
              </w:rPr>
            </w:pPr>
            <w:r>
              <w:rPr>
                <w:color w:val="000000" w:themeColor="text1"/>
                <w:sz w:val="20"/>
                <w:szCs w:val="20"/>
              </w:rPr>
              <w:t>Identify network and t</w:t>
            </w:r>
            <w:r w:rsidR="005F21E6" w:rsidRPr="008B6986">
              <w:rPr>
                <w:color w:val="000000" w:themeColor="text1"/>
                <w:sz w:val="20"/>
                <w:szCs w:val="20"/>
              </w:rPr>
              <w:t>ransfer</w:t>
            </w:r>
            <w:r>
              <w:rPr>
                <w:color w:val="000000" w:themeColor="text1"/>
                <w:sz w:val="20"/>
                <w:szCs w:val="20"/>
              </w:rPr>
              <w:t xml:space="preserve"> </w:t>
            </w:r>
            <w:r w:rsidR="005F21E6" w:rsidRPr="008B6986">
              <w:rPr>
                <w:color w:val="000000" w:themeColor="text1"/>
                <w:sz w:val="20"/>
                <w:szCs w:val="20"/>
              </w:rPr>
              <w:t xml:space="preserve"> </w:t>
            </w:r>
            <w:r>
              <w:rPr>
                <w:color w:val="000000" w:themeColor="text1"/>
                <w:sz w:val="20"/>
                <w:szCs w:val="20"/>
              </w:rPr>
              <w:t xml:space="preserve">the </w:t>
            </w:r>
            <w:r w:rsidRPr="008B6986">
              <w:rPr>
                <w:color w:val="000000" w:themeColor="text1"/>
                <w:sz w:val="20"/>
                <w:szCs w:val="20"/>
              </w:rPr>
              <w:t>maintena</w:t>
            </w:r>
            <w:r>
              <w:rPr>
                <w:color w:val="000000" w:themeColor="text1"/>
                <w:sz w:val="20"/>
                <w:szCs w:val="20"/>
              </w:rPr>
              <w:t xml:space="preserve">nce of the active travel network to the </w:t>
            </w:r>
            <w:r w:rsidR="005F21E6" w:rsidRPr="008B6986">
              <w:rPr>
                <w:color w:val="000000" w:themeColor="text1"/>
                <w:sz w:val="20"/>
                <w:szCs w:val="20"/>
              </w:rPr>
              <w:t>highway service</w:t>
            </w:r>
          </w:p>
          <w:p w:rsidR="008B6986" w:rsidRDefault="005F21E6" w:rsidP="008D4AD8">
            <w:pPr>
              <w:pStyle w:val="ListParagraph"/>
              <w:numPr>
                <w:ilvl w:val="0"/>
                <w:numId w:val="6"/>
              </w:numPr>
              <w:ind w:left="360"/>
              <w:rPr>
                <w:sz w:val="20"/>
                <w:szCs w:val="20"/>
              </w:rPr>
            </w:pPr>
            <w:r w:rsidRPr="008B6986">
              <w:rPr>
                <w:color w:val="000000" w:themeColor="text1"/>
                <w:sz w:val="20"/>
                <w:szCs w:val="20"/>
              </w:rPr>
              <w:t>Consult employees on the proposal/structure by 31</w:t>
            </w:r>
            <w:r w:rsidRPr="008B6986">
              <w:rPr>
                <w:color w:val="000000" w:themeColor="text1"/>
                <w:sz w:val="20"/>
                <w:szCs w:val="20"/>
                <w:vertAlign w:val="superscript"/>
              </w:rPr>
              <w:t>st</w:t>
            </w:r>
            <w:r w:rsidRPr="008B6986">
              <w:rPr>
                <w:color w:val="000000" w:themeColor="text1"/>
                <w:sz w:val="20"/>
                <w:szCs w:val="20"/>
              </w:rPr>
              <w:t xml:space="preserve"> December 2015 for </w:t>
            </w:r>
            <w:r w:rsidR="008B6986" w:rsidRPr="008B6986">
              <w:rPr>
                <w:color w:val="000000" w:themeColor="text1"/>
                <w:sz w:val="20"/>
                <w:szCs w:val="20"/>
              </w:rPr>
              <w:t>implementation</w:t>
            </w:r>
            <w:r w:rsidRPr="008B6986">
              <w:rPr>
                <w:color w:val="000000" w:themeColor="text1"/>
                <w:sz w:val="20"/>
                <w:szCs w:val="20"/>
              </w:rPr>
              <w:t xml:space="preserve"> between </w:t>
            </w:r>
            <w:r w:rsidR="008B6986" w:rsidRPr="008B6986">
              <w:rPr>
                <w:color w:val="000000" w:themeColor="text1"/>
                <w:sz w:val="20"/>
                <w:szCs w:val="20"/>
              </w:rPr>
              <w:t>A</w:t>
            </w:r>
            <w:r w:rsidRPr="008B6986">
              <w:rPr>
                <w:color w:val="000000" w:themeColor="text1"/>
                <w:sz w:val="20"/>
                <w:szCs w:val="20"/>
              </w:rPr>
              <w:t>pril 2016 and April 2108.</w:t>
            </w:r>
            <w:r w:rsidR="008B6986" w:rsidRPr="008B6986">
              <w:rPr>
                <w:sz w:val="20"/>
                <w:szCs w:val="20"/>
              </w:rPr>
              <w:t xml:space="preserve"> </w:t>
            </w:r>
          </w:p>
          <w:p w:rsidR="008B6986" w:rsidRPr="008B6986" w:rsidRDefault="008B6986" w:rsidP="008D4AD8">
            <w:pPr>
              <w:pStyle w:val="ListParagraph"/>
              <w:numPr>
                <w:ilvl w:val="0"/>
                <w:numId w:val="6"/>
              </w:numPr>
              <w:ind w:left="360"/>
              <w:rPr>
                <w:sz w:val="20"/>
                <w:szCs w:val="20"/>
              </w:rPr>
            </w:pPr>
            <w:r w:rsidRPr="008B6986">
              <w:rPr>
                <w:sz w:val="20"/>
                <w:szCs w:val="20"/>
              </w:rPr>
              <w:t>Statutory consultation process with Trades Unions with respect to potential for redundancies, April 2016.</w:t>
            </w:r>
          </w:p>
          <w:p w:rsidR="003A04B9" w:rsidRPr="008B6986" w:rsidRDefault="003A04B9" w:rsidP="008B6986">
            <w:pPr>
              <w:pStyle w:val="ListParagraph"/>
              <w:ind w:left="360"/>
              <w:rPr>
                <w:sz w:val="20"/>
                <w:szCs w:val="20"/>
              </w:rPr>
            </w:pPr>
          </w:p>
        </w:tc>
      </w:tr>
      <w:tr w:rsidR="007D2F78" w:rsidRPr="002B630A" w:rsidTr="00E51A8D">
        <w:trPr>
          <w:trHeight w:val="274"/>
        </w:trPr>
        <w:tc>
          <w:tcPr>
            <w:tcW w:w="3256" w:type="dxa"/>
          </w:tcPr>
          <w:p w:rsidR="007D2F78" w:rsidRPr="002B630A" w:rsidRDefault="007D2F78" w:rsidP="00452C66">
            <w:pPr>
              <w:rPr>
                <w:sz w:val="20"/>
                <w:szCs w:val="20"/>
              </w:rPr>
            </w:pPr>
            <w:r>
              <w:rPr>
                <w:sz w:val="20"/>
                <w:szCs w:val="20"/>
              </w:rPr>
              <w:t>Equality Analysis</w:t>
            </w:r>
          </w:p>
        </w:tc>
        <w:tc>
          <w:tcPr>
            <w:tcW w:w="5953" w:type="dxa"/>
            <w:gridSpan w:val="3"/>
          </w:tcPr>
          <w:p w:rsidR="00E32D62" w:rsidRPr="005466EC" w:rsidRDefault="00E83429" w:rsidP="005466EC">
            <w:pPr>
              <w:rPr>
                <w:sz w:val="20"/>
                <w:szCs w:val="20"/>
              </w:rPr>
            </w:pPr>
            <w:hyperlink r:id="rId6" w:history="1">
              <w:r>
                <w:rPr>
                  <w:rStyle w:val="Hyperlink"/>
                  <w:sz w:val="20"/>
                  <w:szCs w:val="20"/>
                </w:rPr>
                <w:t>Click here to view document</w:t>
              </w:r>
            </w:hyperlink>
            <w:bookmarkStart w:id="0" w:name="_GoBack"/>
            <w:bookmarkEnd w:id="0"/>
          </w:p>
        </w:tc>
      </w:tr>
    </w:tbl>
    <w:p w:rsidR="00596DAE" w:rsidRDefault="00596DAE" w:rsidP="001F1B19">
      <w:pPr>
        <w:spacing w:after="0" w:line="240" w:lineRule="auto"/>
        <w:jc w:val="both"/>
        <w:rPr>
          <w:b/>
          <w:color w:val="000000" w:themeColor="text1"/>
        </w:rPr>
      </w:pPr>
    </w:p>
    <w:p w:rsidR="00596DAE" w:rsidRDefault="00596DAE" w:rsidP="001F1B19">
      <w:pPr>
        <w:spacing w:after="0" w:line="240" w:lineRule="auto"/>
        <w:jc w:val="both"/>
        <w:rPr>
          <w:b/>
          <w:color w:val="000000" w:themeColor="text1"/>
        </w:rPr>
      </w:pPr>
    </w:p>
    <w:p w:rsidR="005A24DF" w:rsidRDefault="005A24DF">
      <w:pPr>
        <w:rPr>
          <w:b/>
          <w:color w:val="000000" w:themeColor="text1"/>
        </w:rPr>
      </w:pPr>
      <w:r>
        <w:rPr>
          <w:b/>
          <w:color w:val="000000" w:themeColor="text1"/>
        </w:rPr>
        <w:br w:type="page"/>
      </w:r>
    </w:p>
    <w:p w:rsidR="00F427A8" w:rsidRDefault="00F427A8" w:rsidP="001F1B19">
      <w:pPr>
        <w:spacing w:after="0" w:line="240" w:lineRule="auto"/>
        <w:jc w:val="both"/>
        <w:rPr>
          <w:b/>
          <w:color w:val="000000" w:themeColor="text1"/>
        </w:rPr>
      </w:pPr>
      <w:r w:rsidRPr="00CA2A72">
        <w:rPr>
          <w:b/>
          <w:color w:val="000000" w:themeColor="text1"/>
        </w:rPr>
        <w:lastRenderedPageBreak/>
        <w:t>What does this service deliver?</w:t>
      </w:r>
    </w:p>
    <w:p w:rsidR="00F427A8" w:rsidRDefault="00F427A8" w:rsidP="001F1B19">
      <w:pPr>
        <w:spacing w:after="0" w:line="240" w:lineRule="auto"/>
        <w:jc w:val="both"/>
        <w:rPr>
          <w:color w:val="000000" w:themeColor="text1"/>
          <w:sz w:val="20"/>
          <w:szCs w:val="20"/>
        </w:rPr>
      </w:pPr>
    </w:p>
    <w:p w:rsidR="001F1B19" w:rsidRPr="00E066B2" w:rsidRDefault="001F1B19" w:rsidP="001F1B19">
      <w:pPr>
        <w:spacing w:after="0" w:line="240" w:lineRule="auto"/>
        <w:jc w:val="both"/>
        <w:rPr>
          <w:color w:val="000000" w:themeColor="text1"/>
          <w:sz w:val="20"/>
          <w:szCs w:val="20"/>
        </w:rPr>
      </w:pPr>
      <w:r w:rsidRPr="00E066B2">
        <w:rPr>
          <w:color w:val="000000" w:themeColor="text1"/>
          <w:sz w:val="20"/>
          <w:szCs w:val="20"/>
        </w:rPr>
        <w:t>This service maintains 93 recreation and forestry sites across the county which includes:</w:t>
      </w:r>
    </w:p>
    <w:p w:rsidR="001F1B19" w:rsidRPr="00E066B2" w:rsidRDefault="001F1B19" w:rsidP="001F1B19">
      <w:pPr>
        <w:spacing w:after="0" w:line="240" w:lineRule="auto"/>
        <w:jc w:val="both"/>
        <w:rPr>
          <w:color w:val="000000" w:themeColor="text1"/>
          <w:sz w:val="20"/>
          <w:szCs w:val="20"/>
        </w:rPr>
      </w:pPr>
    </w:p>
    <w:p w:rsidR="001F1B19" w:rsidRPr="00E066B2" w:rsidRDefault="001F1B19" w:rsidP="001F1B19">
      <w:pPr>
        <w:pStyle w:val="ListParagraph"/>
        <w:numPr>
          <w:ilvl w:val="0"/>
          <w:numId w:val="4"/>
        </w:numPr>
        <w:spacing w:after="0" w:line="240" w:lineRule="auto"/>
        <w:jc w:val="both"/>
        <w:rPr>
          <w:rFonts w:cs="Arial"/>
          <w:bCs/>
          <w:color w:val="000000" w:themeColor="text1"/>
          <w:sz w:val="20"/>
          <w:szCs w:val="20"/>
        </w:rPr>
      </w:pPr>
      <w:r w:rsidRPr="00E066B2">
        <w:rPr>
          <w:color w:val="000000" w:themeColor="text1"/>
          <w:sz w:val="20"/>
          <w:szCs w:val="20"/>
        </w:rPr>
        <w:t xml:space="preserve">Inspection/maintenance of the 93 </w:t>
      </w:r>
      <w:r w:rsidRPr="00E066B2">
        <w:rPr>
          <w:rFonts w:cs="Arial"/>
          <w:bCs/>
          <w:color w:val="000000" w:themeColor="text1"/>
          <w:sz w:val="20"/>
          <w:szCs w:val="20"/>
        </w:rPr>
        <w:t>sites.  A substantial proportion of the service's time and resource is spent dealing with reports that concern safety or liability implications for the county council's 93 sites.  Many of these sites have been reclaimed from former industrial sites, quarries or former landfill sites and present significant risks.</w:t>
      </w:r>
    </w:p>
    <w:p w:rsidR="001F1B19" w:rsidRPr="00E066B2" w:rsidRDefault="001F1B19" w:rsidP="001F1B19">
      <w:pPr>
        <w:pStyle w:val="ListParagraph"/>
        <w:numPr>
          <w:ilvl w:val="0"/>
          <w:numId w:val="3"/>
        </w:numPr>
        <w:spacing w:after="0" w:line="240" w:lineRule="auto"/>
        <w:jc w:val="both"/>
        <w:rPr>
          <w:color w:val="000000" w:themeColor="text1"/>
          <w:sz w:val="20"/>
          <w:szCs w:val="20"/>
        </w:rPr>
      </w:pPr>
      <w:r w:rsidRPr="00E066B2">
        <w:rPr>
          <w:color w:val="000000" w:themeColor="text1"/>
          <w:sz w:val="20"/>
          <w:szCs w:val="20"/>
        </w:rPr>
        <w:t>Providing a countryside events programme</w:t>
      </w:r>
    </w:p>
    <w:p w:rsidR="001F1B19" w:rsidRPr="00E066B2" w:rsidRDefault="001F1B19" w:rsidP="001F1B19">
      <w:pPr>
        <w:pStyle w:val="ListParagraph"/>
        <w:numPr>
          <w:ilvl w:val="0"/>
          <w:numId w:val="3"/>
        </w:numPr>
        <w:spacing w:after="0" w:line="240" w:lineRule="auto"/>
        <w:jc w:val="both"/>
        <w:rPr>
          <w:rFonts w:cs="Arial"/>
          <w:bCs/>
          <w:color w:val="000000" w:themeColor="text1"/>
          <w:sz w:val="20"/>
          <w:szCs w:val="20"/>
        </w:rPr>
      </w:pPr>
      <w:r w:rsidRPr="00E066B2">
        <w:rPr>
          <w:rFonts w:cs="Arial"/>
          <w:bCs/>
          <w:color w:val="000000" w:themeColor="text1"/>
          <w:sz w:val="20"/>
          <w:szCs w:val="20"/>
        </w:rPr>
        <w:t>Maintenance of volunteer ranger support (approximately 100 volunteers)</w:t>
      </w:r>
    </w:p>
    <w:p w:rsidR="001F1B19" w:rsidRPr="00E066B2" w:rsidRDefault="001F1B19" w:rsidP="001F1B19">
      <w:pPr>
        <w:pStyle w:val="ListParagraph"/>
        <w:numPr>
          <w:ilvl w:val="0"/>
          <w:numId w:val="3"/>
        </w:numPr>
        <w:spacing w:after="0" w:line="240" w:lineRule="auto"/>
        <w:jc w:val="both"/>
        <w:rPr>
          <w:rFonts w:cs="Arial"/>
          <w:bCs/>
          <w:color w:val="000000" w:themeColor="text1"/>
          <w:sz w:val="20"/>
          <w:szCs w:val="20"/>
        </w:rPr>
      </w:pPr>
      <w:proofErr w:type="spellStart"/>
      <w:r w:rsidRPr="00E066B2">
        <w:rPr>
          <w:rFonts w:cs="Arial"/>
          <w:bCs/>
          <w:color w:val="000000" w:themeColor="text1"/>
          <w:sz w:val="20"/>
          <w:szCs w:val="20"/>
        </w:rPr>
        <w:t>Tramper</w:t>
      </w:r>
      <w:proofErr w:type="spellEnd"/>
      <w:r w:rsidRPr="00E066B2">
        <w:rPr>
          <w:rFonts w:cs="Arial"/>
          <w:bCs/>
          <w:color w:val="000000" w:themeColor="text1"/>
          <w:sz w:val="20"/>
          <w:szCs w:val="20"/>
        </w:rPr>
        <w:t xml:space="preserve"> (all terrain mobility scooters) hire for people with disabilities or mobility problems at Beacon Fell and </w:t>
      </w:r>
      <w:proofErr w:type="spellStart"/>
      <w:r w:rsidRPr="00E066B2">
        <w:rPr>
          <w:rFonts w:cs="Arial"/>
          <w:bCs/>
          <w:color w:val="000000" w:themeColor="text1"/>
          <w:sz w:val="20"/>
          <w:szCs w:val="20"/>
        </w:rPr>
        <w:t>Wycoller</w:t>
      </w:r>
      <w:proofErr w:type="spellEnd"/>
    </w:p>
    <w:p w:rsidR="00FD11DC" w:rsidRDefault="00FD11DC" w:rsidP="00F95114">
      <w:pPr>
        <w:spacing w:after="0" w:line="240" w:lineRule="auto"/>
        <w:rPr>
          <w:rFonts w:eastAsia="Times New Roman" w:cs="Arial"/>
          <w:b/>
          <w:color w:val="000000" w:themeColor="text1"/>
          <w:sz w:val="20"/>
          <w:szCs w:val="20"/>
          <w:u w:val="single"/>
        </w:rPr>
      </w:pPr>
    </w:p>
    <w:p w:rsidR="00F95114" w:rsidRDefault="00F95114" w:rsidP="00F95114">
      <w:pPr>
        <w:spacing w:after="0" w:line="240" w:lineRule="auto"/>
        <w:rPr>
          <w:b/>
          <w:color w:val="000000" w:themeColor="text1"/>
          <w:sz w:val="20"/>
          <w:szCs w:val="20"/>
          <w:u w:val="single"/>
        </w:rPr>
      </w:pPr>
      <w:r w:rsidRPr="00F95114">
        <w:rPr>
          <w:rFonts w:eastAsia="Times New Roman" w:cs="Arial"/>
          <w:b/>
          <w:color w:val="000000" w:themeColor="text1"/>
          <w:sz w:val="20"/>
          <w:szCs w:val="20"/>
          <w:u w:val="single"/>
        </w:rPr>
        <w:t xml:space="preserve">Lancashire County Council's </w:t>
      </w:r>
      <w:r w:rsidRPr="00F95114">
        <w:rPr>
          <w:b/>
          <w:color w:val="000000" w:themeColor="text1"/>
          <w:sz w:val="20"/>
          <w:szCs w:val="20"/>
          <w:u w:val="single"/>
        </w:rPr>
        <w:t>93 recreation and forestry sites</w:t>
      </w:r>
    </w:p>
    <w:p w:rsidR="00F95114" w:rsidRPr="00FD11DC" w:rsidRDefault="00F95114" w:rsidP="00F95114">
      <w:pPr>
        <w:spacing w:after="0" w:line="240" w:lineRule="auto"/>
        <w:rPr>
          <w:b/>
          <w:color w:val="000000" w:themeColor="text1"/>
          <w:sz w:val="12"/>
          <w:szCs w:val="12"/>
          <w:u w:val="single"/>
        </w:rPr>
      </w:pPr>
    </w:p>
    <w:tbl>
      <w:tblPr>
        <w:tblW w:w="9021" w:type="dxa"/>
        <w:tblInd w:w="-5" w:type="dxa"/>
        <w:tblLook w:val="04A0" w:firstRow="1" w:lastRow="0" w:firstColumn="1" w:lastColumn="0" w:noHBand="0" w:noVBand="1"/>
      </w:tblPr>
      <w:tblGrid>
        <w:gridCol w:w="2552"/>
        <w:gridCol w:w="1843"/>
        <w:gridCol w:w="2693"/>
        <w:gridCol w:w="1933"/>
      </w:tblGrid>
      <w:tr w:rsidR="00F95114" w:rsidRPr="00F95114" w:rsidTr="004B509D">
        <w:trPr>
          <w:trHeight w:val="31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95114" w:rsidRPr="00531B4A" w:rsidRDefault="00F95114" w:rsidP="00F95114">
            <w:pPr>
              <w:spacing w:after="0" w:line="240" w:lineRule="auto"/>
              <w:jc w:val="center"/>
              <w:rPr>
                <w:rFonts w:eastAsia="Times New Roman" w:cs="Arial"/>
                <w:b/>
                <w:color w:val="000000" w:themeColor="text1"/>
                <w:sz w:val="20"/>
                <w:szCs w:val="20"/>
              </w:rPr>
            </w:pPr>
            <w:r w:rsidRPr="00531B4A">
              <w:rPr>
                <w:rFonts w:eastAsia="Times New Roman" w:cs="Arial"/>
                <w:b/>
                <w:color w:val="000000" w:themeColor="text1"/>
                <w:sz w:val="20"/>
                <w:szCs w:val="20"/>
              </w:rPr>
              <w:t>Burnley</w:t>
            </w:r>
          </w:p>
        </w:tc>
      </w:tr>
      <w:tr w:rsidR="00F95114" w:rsidRPr="00F95114" w:rsidTr="00F107AF">
        <w:trPr>
          <w:trHeight w:val="27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95114" w:rsidRPr="00531B4A" w:rsidRDefault="00F95114" w:rsidP="008005B5">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95114" w:rsidRPr="00531B4A" w:rsidRDefault="00F95114" w:rsidP="008005B5">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F95114" w:rsidRPr="00531B4A" w:rsidRDefault="00F95114" w:rsidP="008005B5">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F95114" w:rsidRPr="00531B4A" w:rsidRDefault="00F95114" w:rsidP="008005B5">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r>
      <w:tr w:rsidR="00F95114"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114" w:rsidRPr="00531B4A" w:rsidRDefault="00F95114" w:rsidP="00F95114">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Hameldon</w:t>
            </w:r>
            <w:proofErr w:type="spellEnd"/>
            <w:r w:rsidRPr="00531B4A">
              <w:rPr>
                <w:rFonts w:eastAsia="Times New Roman" w:cs="Arial"/>
                <w:sz w:val="20"/>
                <w:szCs w:val="20"/>
                <w:lang w:eastAsia="en-GB"/>
              </w:rPr>
              <w:t xml:space="preserve"> Hill 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Towneley</w:t>
            </w:r>
            <w:proofErr w:type="spellEnd"/>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F95114" w:rsidRPr="00F95114" w:rsidTr="00F107AF">
        <w:trPr>
          <w:trHeight w:val="25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F95114" w:rsidRPr="00531B4A" w:rsidRDefault="00F95114" w:rsidP="00F95114">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Hameldon</w:t>
            </w:r>
            <w:proofErr w:type="spellEnd"/>
            <w:r w:rsidRPr="00531B4A">
              <w:rPr>
                <w:rFonts w:eastAsia="Times New Roman" w:cs="Arial"/>
                <w:sz w:val="20"/>
                <w:szCs w:val="20"/>
                <w:lang w:eastAsia="en-GB"/>
              </w:rPr>
              <w:t xml:space="preserve"> Hill II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Widow Green Wood</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r>
      <w:tr w:rsidR="00F95114" w:rsidRPr="00F95114" w:rsidTr="00F107AF">
        <w:trPr>
          <w:trHeight w:val="25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 xml:space="preserve">New </w:t>
            </w:r>
            <w:proofErr w:type="spellStart"/>
            <w:r w:rsidRPr="00531B4A">
              <w:rPr>
                <w:rFonts w:eastAsia="Times New Roman" w:cs="Arial"/>
                <w:sz w:val="20"/>
                <w:szCs w:val="20"/>
                <w:lang w:eastAsia="en-GB"/>
              </w:rPr>
              <w:t>Laithe</w:t>
            </w:r>
            <w:proofErr w:type="spellEnd"/>
            <w:r w:rsidRPr="00531B4A">
              <w:rPr>
                <w:rFonts w:eastAsia="Times New Roman" w:cs="Arial"/>
                <w:sz w:val="20"/>
                <w:szCs w:val="20"/>
                <w:lang w:eastAsia="en-GB"/>
              </w:rPr>
              <w:t xml:space="preserve">, </w:t>
            </w:r>
            <w:proofErr w:type="spellStart"/>
            <w:r w:rsidRPr="00531B4A">
              <w:rPr>
                <w:rFonts w:eastAsia="Times New Roman" w:cs="Arial"/>
                <w:sz w:val="20"/>
                <w:szCs w:val="20"/>
                <w:lang w:eastAsia="en-GB"/>
              </w:rPr>
              <w:t>Dunnockshaw</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Rowley I &amp; II</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F95114" w:rsidRPr="00F95114" w:rsidTr="00F107AF">
        <w:trPr>
          <w:trHeight w:val="25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Chatham Hill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Houghton's Farm</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r>
      <w:tr w:rsidR="00F95114" w:rsidRPr="00F95114" w:rsidTr="00F107AF">
        <w:trPr>
          <w:trHeight w:val="26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F95114" w:rsidRPr="00531B4A" w:rsidRDefault="00F95114" w:rsidP="00F95114">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Thursden</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Parish Wood</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r>
      <w:tr w:rsidR="00F95114" w:rsidRPr="00F95114" w:rsidTr="00F107AF">
        <w:trPr>
          <w:trHeight w:val="27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Molly Wood Lane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Jinny Spring Wood</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r>
      <w:tr w:rsidR="00F95114" w:rsidRPr="00F95114" w:rsidTr="004B509D">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95114" w:rsidRPr="00531B4A" w:rsidRDefault="00F95114" w:rsidP="00F95114">
            <w:pPr>
              <w:spacing w:after="0" w:line="240" w:lineRule="auto"/>
              <w:jc w:val="center"/>
              <w:rPr>
                <w:rFonts w:eastAsia="Times New Roman" w:cs="Arial"/>
                <w:b/>
                <w:sz w:val="20"/>
                <w:szCs w:val="20"/>
                <w:lang w:eastAsia="en-GB"/>
              </w:rPr>
            </w:pPr>
            <w:r w:rsidRPr="00531B4A">
              <w:rPr>
                <w:rFonts w:cs="Arial"/>
                <w:b/>
                <w:color w:val="000000" w:themeColor="text1"/>
                <w:sz w:val="20"/>
                <w:szCs w:val="20"/>
              </w:rPr>
              <w:t>Chorley</w:t>
            </w:r>
          </w:p>
        </w:tc>
      </w:tr>
      <w:tr w:rsidR="00F95114"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95114" w:rsidRPr="00531B4A" w:rsidRDefault="00F95114" w:rsidP="00F95114">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5114" w:rsidRPr="00531B4A" w:rsidRDefault="00F95114" w:rsidP="00F95114">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5114" w:rsidRPr="00531B4A" w:rsidRDefault="00F95114" w:rsidP="00F95114">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5114" w:rsidRPr="00531B4A" w:rsidRDefault="00F95114" w:rsidP="00F95114">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r>
      <w:tr w:rsidR="00F95114"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114" w:rsidRPr="00531B4A" w:rsidRDefault="00F95114" w:rsidP="00F95114">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Hoghton</w:t>
            </w:r>
            <w:proofErr w:type="spellEnd"/>
            <w:r w:rsidRPr="00531B4A">
              <w:rPr>
                <w:rFonts w:eastAsia="Times New Roman" w:cs="Arial"/>
                <w:sz w:val="20"/>
                <w:szCs w:val="20"/>
                <w:lang w:eastAsia="en-GB"/>
              </w:rPr>
              <w:t xml:space="preserve"> House </w:t>
            </w:r>
            <w:r w:rsidRPr="00FD11DC">
              <w:rPr>
                <w:rFonts w:eastAsia="Times New Roman" w:cs="Arial"/>
                <w:sz w:val="16"/>
                <w:szCs w:val="16"/>
                <w:lang w:eastAsia="en-GB"/>
              </w:rPr>
              <w:t>(Transport Ltd)</w:t>
            </w:r>
          </w:p>
        </w:tc>
        <w:tc>
          <w:tcPr>
            <w:tcW w:w="1843" w:type="dxa"/>
            <w:tcBorders>
              <w:top w:val="single" w:sz="4" w:space="0" w:color="auto"/>
              <w:left w:val="nil"/>
              <w:bottom w:val="single" w:sz="4" w:space="0" w:color="auto"/>
              <w:right w:val="single" w:sz="4" w:space="0" w:color="auto"/>
            </w:tcBorders>
            <w:shd w:val="clear" w:color="auto" w:fill="auto"/>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Adlington</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r>
      <w:tr w:rsidR="00F95114"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Healey Nab</w:t>
            </w:r>
          </w:p>
        </w:tc>
        <w:tc>
          <w:tcPr>
            <w:tcW w:w="1843" w:type="dxa"/>
            <w:tcBorders>
              <w:top w:val="single" w:sz="4" w:space="0" w:color="auto"/>
              <w:left w:val="nil"/>
              <w:bottom w:val="single" w:sz="4" w:space="0" w:color="auto"/>
              <w:right w:val="single" w:sz="4" w:space="0" w:color="auto"/>
            </w:tcBorders>
            <w:shd w:val="clear" w:color="auto" w:fill="auto"/>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Walton Summit</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F95114"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114" w:rsidRPr="00531B4A" w:rsidRDefault="00F95114" w:rsidP="00F95114">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Chisnall</w:t>
            </w:r>
            <w:proofErr w:type="spellEnd"/>
            <w:r w:rsidRPr="00531B4A">
              <w:rPr>
                <w:rFonts w:eastAsia="Times New Roman" w:cs="Arial"/>
                <w:sz w:val="20"/>
                <w:szCs w:val="20"/>
                <w:lang w:eastAsia="en-GB"/>
              </w:rPr>
              <w:t xml:space="preserve"> Hall</w:t>
            </w:r>
          </w:p>
        </w:tc>
        <w:tc>
          <w:tcPr>
            <w:tcW w:w="1843" w:type="dxa"/>
            <w:tcBorders>
              <w:top w:val="single" w:sz="4" w:space="0" w:color="auto"/>
              <w:left w:val="nil"/>
              <w:bottom w:val="single" w:sz="4" w:space="0" w:color="auto"/>
              <w:right w:val="single" w:sz="4" w:space="0" w:color="auto"/>
            </w:tcBorders>
            <w:shd w:val="clear" w:color="auto" w:fill="auto"/>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Albany Academy</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r>
      <w:tr w:rsidR="00F95114"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Welch Whittle</w:t>
            </w:r>
          </w:p>
        </w:tc>
        <w:tc>
          <w:tcPr>
            <w:tcW w:w="1843" w:type="dxa"/>
            <w:tcBorders>
              <w:top w:val="single" w:sz="4" w:space="0" w:color="auto"/>
              <w:left w:val="nil"/>
              <w:bottom w:val="single" w:sz="4" w:space="0" w:color="auto"/>
              <w:right w:val="single" w:sz="4" w:space="0" w:color="auto"/>
            </w:tcBorders>
            <w:shd w:val="clear" w:color="auto" w:fill="auto"/>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Withnell</w:t>
            </w:r>
            <w:proofErr w:type="spellEnd"/>
            <w:r w:rsidRPr="00531B4A">
              <w:rPr>
                <w:rFonts w:eastAsia="Times New Roman" w:cs="Arial"/>
                <w:sz w:val="20"/>
                <w:szCs w:val="20"/>
                <w:lang w:eastAsia="en-GB"/>
              </w:rPr>
              <w:t xml:space="preserve"> Fold</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E86B3C">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31B4A" w:rsidRPr="00531B4A" w:rsidRDefault="00531B4A" w:rsidP="00531B4A">
            <w:pPr>
              <w:spacing w:after="0" w:line="240" w:lineRule="auto"/>
              <w:jc w:val="center"/>
              <w:rPr>
                <w:rFonts w:eastAsia="Times New Roman" w:cs="Arial"/>
                <w:sz w:val="20"/>
                <w:szCs w:val="20"/>
                <w:lang w:eastAsia="en-GB"/>
              </w:rPr>
            </w:pPr>
            <w:r w:rsidRPr="00531B4A">
              <w:rPr>
                <w:b/>
                <w:color w:val="000000" w:themeColor="text1"/>
                <w:sz w:val="20"/>
                <w:szCs w:val="20"/>
              </w:rPr>
              <w:t>Hyndburn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31B4A" w:rsidRPr="00531B4A" w:rsidRDefault="00531B4A" w:rsidP="00531B4A">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531B4A" w:rsidRPr="00531B4A" w:rsidRDefault="00531B4A" w:rsidP="00531B4A">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531B4A" w:rsidRPr="00531B4A" w:rsidRDefault="00531B4A" w:rsidP="00531B4A">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531B4A" w:rsidRPr="00531B4A" w:rsidRDefault="00531B4A" w:rsidP="00531B4A">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The Hollins</w:t>
            </w:r>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Huncoat</w:t>
            </w:r>
            <w:proofErr w:type="spellEnd"/>
            <w:r w:rsidRPr="00531B4A">
              <w:rPr>
                <w:rFonts w:eastAsia="Times New Roman" w:cs="Arial"/>
                <w:sz w:val="20"/>
                <w:szCs w:val="20"/>
                <w:lang w:eastAsia="en-GB"/>
              </w:rPr>
              <w:t xml:space="preserve"> I</w:t>
            </w:r>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Warcocks</w:t>
            </w:r>
            <w:proofErr w:type="spellEnd"/>
            <w:r w:rsidRPr="00531B4A">
              <w:rPr>
                <w:rFonts w:eastAsia="Times New Roman" w:cs="Arial"/>
                <w:sz w:val="20"/>
                <w:szCs w:val="20"/>
                <w:lang w:eastAsia="en-GB"/>
              </w:rPr>
              <w:t xml:space="preserve"> Green</w:t>
            </w:r>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Huncoat</w:t>
            </w:r>
            <w:proofErr w:type="spellEnd"/>
            <w:r w:rsidRPr="00531B4A">
              <w:rPr>
                <w:rFonts w:eastAsia="Times New Roman" w:cs="Arial"/>
                <w:sz w:val="20"/>
                <w:szCs w:val="20"/>
                <w:lang w:eastAsia="en-GB"/>
              </w:rPr>
              <w:t xml:space="preserve"> II</w:t>
            </w:r>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Rushton House Farm</w:t>
            </w:r>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Boundary Wood</w:t>
            </w:r>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Brocklehurst</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Whinney</w:t>
            </w:r>
            <w:proofErr w:type="spellEnd"/>
            <w:r w:rsidRPr="00531B4A">
              <w:rPr>
                <w:rFonts w:eastAsia="Times New Roman" w:cs="Arial"/>
                <w:sz w:val="20"/>
                <w:szCs w:val="20"/>
                <w:lang w:eastAsia="en-GB"/>
              </w:rPr>
              <w:t xml:space="preserve"> Hill I</w:t>
            </w:r>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Plantation Mill</w:t>
            </w:r>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Whinney</w:t>
            </w:r>
            <w:proofErr w:type="spellEnd"/>
            <w:r w:rsidRPr="00531B4A">
              <w:rPr>
                <w:rFonts w:eastAsia="Times New Roman" w:cs="Arial"/>
                <w:sz w:val="20"/>
                <w:szCs w:val="20"/>
                <w:lang w:eastAsia="en-GB"/>
              </w:rPr>
              <w:t xml:space="preserve"> Hill II</w:t>
            </w:r>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The Coppice</w:t>
            </w:r>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Fox Hill Bank</w:t>
            </w:r>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Abbott Clough</w:t>
            </w:r>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 xml:space="preserve">Accrington </w:t>
            </w:r>
            <w:proofErr w:type="spellStart"/>
            <w:r w:rsidRPr="00531B4A">
              <w:rPr>
                <w:rFonts w:eastAsia="Times New Roman" w:cs="Arial"/>
                <w:sz w:val="20"/>
                <w:szCs w:val="20"/>
                <w:lang w:eastAsia="en-GB"/>
              </w:rPr>
              <w:t>Baxenden</w:t>
            </w:r>
            <w:proofErr w:type="spellEnd"/>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Heys</w:t>
            </w:r>
            <w:proofErr w:type="spellEnd"/>
            <w:r w:rsidRPr="00531B4A">
              <w:rPr>
                <w:rFonts w:eastAsia="Times New Roman" w:cs="Arial"/>
                <w:sz w:val="20"/>
                <w:szCs w:val="20"/>
                <w:lang w:eastAsia="en-GB"/>
              </w:rPr>
              <w:t xml:space="preserve"> Lane</w:t>
            </w:r>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Martholme</w:t>
            </w:r>
            <w:proofErr w:type="spellEnd"/>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FD11DC" w:rsidRPr="00F95114" w:rsidTr="00FD11DC">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D11DC" w:rsidRPr="00FD11DC" w:rsidRDefault="00FD11DC" w:rsidP="00FD11DC">
            <w:pPr>
              <w:spacing w:after="0" w:line="240" w:lineRule="auto"/>
              <w:jc w:val="center"/>
              <w:rPr>
                <w:rFonts w:eastAsia="Times New Roman" w:cs="Arial"/>
                <w:sz w:val="20"/>
                <w:szCs w:val="20"/>
                <w:lang w:eastAsia="en-GB"/>
              </w:rPr>
            </w:pPr>
            <w:r w:rsidRPr="00FD11DC">
              <w:rPr>
                <w:b/>
                <w:color w:val="000000" w:themeColor="text1"/>
                <w:sz w:val="20"/>
                <w:szCs w:val="20"/>
              </w:rPr>
              <w:t>Lancaster</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D11DC" w:rsidRPr="00FD11DC" w:rsidRDefault="00FD11DC" w:rsidP="00FD11DC">
            <w:pPr>
              <w:spacing w:after="0" w:line="240" w:lineRule="auto"/>
              <w:rPr>
                <w:rFonts w:eastAsia="Times New Roman" w:cs="Arial"/>
                <w:b/>
                <w:sz w:val="20"/>
                <w:szCs w:val="20"/>
                <w:lang w:eastAsia="en-GB"/>
              </w:rPr>
            </w:pPr>
            <w:r w:rsidRPr="00FD11DC">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FD11DC" w:rsidRPr="00FD11DC" w:rsidRDefault="00FD11DC" w:rsidP="00FD11DC">
            <w:pPr>
              <w:spacing w:after="0" w:line="240" w:lineRule="auto"/>
              <w:rPr>
                <w:rFonts w:eastAsia="Times New Roman" w:cs="Arial"/>
                <w:b/>
                <w:sz w:val="20"/>
                <w:szCs w:val="20"/>
                <w:lang w:eastAsia="en-GB"/>
              </w:rPr>
            </w:pPr>
            <w:r w:rsidRPr="00FD11DC">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FD11DC" w:rsidRPr="00FD11DC" w:rsidRDefault="00FD11DC" w:rsidP="00FD11DC">
            <w:pPr>
              <w:spacing w:after="0" w:line="240" w:lineRule="auto"/>
              <w:rPr>
                <w:rFonts w:eastAsia="Times New Roman" w:cs="Arial"/>
                <w:b/>
                <w:sz w:val="20"/>
                <w:szCs w:val="20"/>
                <w:lang w:eastAsia="en-GB"/>
              </w:rPr>
            </w:pPr>
            <w:r w:rsidRPr="00FD11DC">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FD11DC" w:rsidRPr="00FD11DC" w:rsidRDefault="00FD11DC" w:rsidP="00FD11DC">
            <w:pPr>
              <w:spacing w:after="0" w:line="240" w:lineRule="auto"/>
              <w:rPr>
                <w:rFonts w:eastAsia="Times New Roman" w:cs="Arial"/>
                <w:b/>
                <w:sz w:val="20"/>
                <w:szCs w:val="20"/>
                <w:lang w:eastAsia="en-GB"/>
              </w:rPr>
            </w:pPr>
            <w:r w:rsidRPr="00FD11DC">
              <w:rPr>
                <w:rFonts w:eastAsia="Times New Roman" w:cs="Arial"/>
                <w:b/>
                <w:sz w:val="20"/>
                <w:szCs w:val="20"/>
                <w:lang w:eastAsia="en-GB"/>
              </w:rPr>
              <w:t>Type of Site</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Highfield</w:t>
            </w:r>
          </w:p>
        </w:tc>
        <w:tc>
          <w:tcPr>
            <w:tcW w:w="1843" w:type="dxa"/>
            <w:tcBorders>
              <w:top w:val="single" w:sz="4" w:space="0" w:color="auto"/>
              <w:left w:val="nil"/>
              <w:bottom w:val="single" w:sz="4" w:space="0" w:color="auto"/>
              <w:right w:val="single" w:sz="4" w:space="0" w:color="auto"/>
            </w:tcBorders>
            <w:shd w:val="clear" w:color="auto" w:fill="auto"/>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Little Crag</w:t>
            </w:r>
          </w:p>
        </w:tc>
        <w:tc>
          <w:tcPr>
            <w:tcW w:w="193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DC" w:rsidRPr="00FD11DC" w:rsidRDefault="00FD11DC" w:rsidP="00FD11DC">
            <w:pPr>
              <w:spacing w:after="0" w:line="240" w:lineRule="auto"/>
              <w:rPr>
                <w:rFonts w:eastAsia="Times New Roman" w:cs="Arial"/>
                <w:sz w:val="20"/>
                <w:szCs w:val="20"/>
                <w:lang w:eastAsia="en-GB"/>
              </w:rPr>
            </w:pPr>
            <w:proofErr w:type="spellStart"/>
            <w:r w:rsidRPr="00FD11DC">
              <w:rPr>
                <w:rFonts w:eastAsia="Times New Roman" w:cs="Arial"/>
                <w:sz w:val="20"/>
                <w:szCs w:val="20"/>
                <w:lang w:eastAsia="en-GB"/>
              </w:rPr>
              <w:t>Stockabank</w:t>
            </w:r>
            <w:proofErr w:type="spellEnd"/>
            <w:r w:rsidRPr="00FD11DC">
              <w:rPr>
                <w:rFonts w:eastAsia="Times New Roman" w:cs="Arial"/>
                <w:sz w:val="20"/>
                <w:szCs w:val="20"/>
                <w:lang w:eastAsia="en-GB"/>
              </w:rPr>
              <w:t xml:space="preserve"> Wood</w:t>
            </w:r>
          </w:p>
        </w:tc>
        <w:tc>
          <w:tcPr>
            <w:tcW w:w="1843" w:type="dxa"/>
            <w:tcBorders>
              <w:top w:val="single" w:sz="4" w:space="0" w:color="auto"/>
              <w:left w:val="nil"/>
              <w:bottom w:val="single" w:sz="4" w:space="0" w:color="auto"/>
              <w:right w:val="single" w:sz="4" w:space="0" w:color="auto"/>
            </w:tcBorders>
            <w:shd w:val="clear" w:color="auto" w:fill="auto"/>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proofErr w:type="spellStart"/>
            <w:r w:rsidRPr="00FD11DC">
              <w:rPr>
                <w:rFonts w:eastAsia="Times New Roman" w:cs="Arial"/>
                <w:sz w:val="20"/>
                <w:szCs w:val="20"/>
                <w:lang w:eastAsia="en-GB"/>
              </w:rPr>
              <w:t>Birk</w:t>
            </w:r>
            <w:proofErr w:type="spellEnd"/>
            <w:r w:rsidRPr="00FD11DC">
              <w:rPr>
                <w:rFonts w:eastAsia="Times New Roman" w:cs="Arial"/>
                <w:sz w:val="20"/>
                <w:szCs w:val="20"/>
                <w:lang w:eastAsia="en-GB"/>
              </w:rPr>
              <w:t xml:space="preserve"> Bank</w:t>
            </w:r>
          </w:p>
        </w:tc>
        <w:tc>
          <w:tcPr>
            <w:tcW w:w="193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DC" w:rsidRPr="00FD11DC" w:rsidRDefault="00FD11DC" w:rsidP="00FD11DC">
            <w:pPr>
              <w:spacing w:after="0" w:line="240" w:lineRule="auto"/>
              <w:rPr>
                <w:rFonts w:eastAsia="Times New Roman" w:cs="Arial"/>
                <w:sz w:val="20"/>
                <w:szCs w:val="20"/>
                <w:lang w:eastAsia="en-GB"/>
              </w:rPr>
            </w:pPr>
            <w:proofErr w:type="spellStart"/>
            <w:r w:rsidRPr="00FD11DC">
              <w:rPr>
                <w:rFonts w:eastAsia="Times New Roman" w:cs="Arial"/>
                <w:sz w:val="20"/>
                <w:szCs w:val="20"/>
                <w:lang w:eastAsia="en-GB"/>
              </w:rPr>
              <w:t>Cinderbarrow</w:t>
            </w:r>
            <w:proofErr w:type="spellEnd"/>
            <w:r w:rsidRPr="00FD11DC">
              <w:rPr>
                <w:rFonts w:eastAsia="Times New Roman" w:cs="Arial"/>
                <w:sz w:val="20"/>
                <w:szCs w:val="20"/>
                <w:lang w:eastAsia="en-GB"/>
              </w:rPr>
              <w:t xml:space="preserve"> (</w:t>
            </w:r>
            <w:proofErr w:type="spellStart"/>
            <w:r w:rsidRPr="00FD11DC">
              <w:rPr>
                <w:rFonts w:eastAsia="Times New Roman" w:cs="Arial"/>
                <w:sz w:val="20"/>
                <w:szCs w:val="20"/>
                <w:lang w:eastAsia="en-GB"/>
              </w:rPr>
              <w:t>Yealand</w:t>
            </w:r>
            <w:proofErr w:type="spellEnd"/>
            <w:r w:rsidRPr="00FD11DC">
              <w:rPr>
                <w:rFonts w:eastAsia="Times New Roman" w:cs="Arial"/>
                <w:sz w:val="20"/>
                <w:szCs w:val="20"/>
                <w:lang w:eastAsia="en-GB"/>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Jubilee Tower</w:t>
            </w:r>
          </w:p>
        </w:tc>
        <w:tc>
          <w:tcPr>
            <w:tcW w:w="193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Warton Crag</w:t>
            </w:r>
          </w:p>
        </w:tc>
        <w:tc>
          <w:tcPr>
            <w:tcW w:w="1843" w:type="dxa"/>
            <w:tcBorders>
              <w:top w:val="single" w:sz="4" w:space="0" w:color="auto"/>
              <w:left w:val="nil"/>
              <w:bottom w:val="single" w:sz="4" w:space="0" w:color="auto"/>
              <w:right w:val="single" w:sz="4" w:space="0" w:color="auto"/>
            </w:tcBorders>
            <w:shd w:val="clear" w:color="auto" w:fill="auto"/>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proofErr w:type="spellStart"/>
            <w:r w:rsidRPr="00FD11DC">
              <w:rPr>
                <w:rFonts w:eastAsia="Times New Roman" w:cs="Arial"/>
                <w:sz w:val="20"/>
                <w:szCs w:val="20"/>
                <w:lang w:eastAsia="en-GB"/>
              </w:rPr>
              <w:t>Levens</w:t>
            </w:r>
            <w:proofErr w:type="spellEnd"/>
            <w:r w:rsidRPr="00FD11DC">
              <w:rPr>
                <w:rFonts w:eastAsia="Times New Roman" w:cs="Arial"/>
                <w:sz w:val="20"/>
                <w:szCs w:val="20"/>
                <w:lang w:eastAsia="en-GB"/>
              </w:rPr>
              <w:t xml:space="preserve"> Drive</w:t>
            </w:r>
          </w:p>
        </w:tc>
        <w:tc>
          <w:tcPr>
            <w:tcW w:w="193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Crook 'o' Lune / Caton Trail</w:t>
            </w:r>
          </w:p>
        </w:tc>
        <w:tc>
          <w:tcPr>
            <w:tcW w:w="1843" w:type="dxa"/>
            <w:tcBorders>
              <w:top w:val="single" w:sz="4" w:space="0" w:color="auto"/>
              <w:left w:val="nil"/>
              <w:bottom w:val="single" w:sz="4" w:space="0" w:color="auto"/>
              <w:right w:val="single" w:sz="4" w:space="0" w:color="auto"/>
            </w:tcBorders>
            <w:shd w:val="clear" w:color="auto" w:fill="auto"/>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proofErr w:type="spellStart"/>
            <w:r w:rsidRPr="00FD11DC">
              <w:rPr>
                <w:rFonts w:eastAsia="Times New Roman" w:cs="Arial"/>
                <w:sz w:val="20"/>
                <w:szCs w:val="20"/>
                <w:lang w:eastAsia="en-GB"/>
              </w:rPr>
              <w:t>Claughton</w:t>
            </w:r>
            <w:proofErr w:type="spellEnd"/>
            <w:r w:rsidRPr="00FD11DC">
              <w:rPr>
                <w:rFonts w:eastAsia="Times New Roman" w:cs="Arial"/>
                <w:sz w:val="20"/>
                <w:szCs w:val="20"/>
                <w:lang w:eastAsia="en-GB"/>
              </w:rPr>
              <w:t xml:space="preserve"> Quarry</w:t>
            </w:r>
          </w:p>
        </w:tc>
        <w:tc>
          <w:tcPr>
            <w:tcW w:w="193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DC" w:rsidRPr="00FD11DC" w:rsidRDefault="00FD11DC" w:rsidP="00FD11DC">
            <w:pPr>
              <w:spacing w:after="0" w:line="240" w:lineRule="auto"/>
              <w:rPr>
                <w:rFonts w:eastAsia="Times New Roman" w:cs="Arial"/>
                <w:sz w:val="20"/>
                <w:szCs w:val="20"/>
                <w:lang w:eastAsia="en-GB"/>
              </w:rPr>
            </w:pPr>
            <w:proofErr w:type="spellStart"/>
            <w:r w:rsidRPr="00FD11DC">
              <w:rPr>
                <w:rFonts w:eastAsia="Times New Roman" w:cs="Arial"/>
                <w:sz w:val="20"/>
                <w:szCs w:val="20"/>
                <w:lang w:eastAsia="en-GB"/>
              </w:rPr>
              <w:t>Conder</w:t>
            </w:r>
            <w:proofErr w:type="spellEnd"/>
            <w:r w:rsidRPr="00FD11DC">
              <w:rPr>
                <w:rFonts w:eastAsia="Times New Roman" w:cs="Arial"/>
                <w:sz w:val="20"/>
                <w:szCs w:val="20"/>
                <w:lang w:eastAsia="en-GB"/>
              </w:rPr>
              <w:t xml:space="preserve"> Green / Coastal path</w:t>
            </w:r>
          </w:p>
        </w:tc>
        <w:tc>
          <w:tcPr>
            <w:tcW w:w="1843" w:type="dxa"/>
            <w:tcBorders>
              <w:top w:val="single" w:sz="4" w:space="0" w:color="auto"/>
              <w:left w:val="nil"/>
              <w:bottom w:val="single" w:sz="4" w:space="0" w:color="auto"/>
              <w:right w:val="single" w:sz="4" w:space="0" w:color="auto"/>
            </w:tcBorders>
            <w:shd w:val="clear" w:color="auto" w:fill="auto"/>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tcPr>
          <w:p w:rsidR="00FD11DC" w:rsidRPr="00FD11DC" w:rsidRDefault="00FD11DC" w:rsidP="00FD11DC">
            <w:pPr>
              <w:spacing w:after="0" w:line="240" w:lineRule="auto"/>
              <w:rPr>
                <w:rFonts w:eastAsia="Times New Roman" w:cs="Arial"/>
                <w:sz w:val="20"/>
                <w:szCs w:val="20"/>
                <w:lang w:eastAsia="en-GB"/>
              </w:rPr>
            </w:pPr>
          </w:p>
        </w:tc>
        <w:tc>
          <w:tcPr>
            <w:tcW w:w="1933" w:type="dxa"/>
            <w:tcBorders>
              <w:top w:val="single" w:sz="4" w:space="0" w:color="auto"/>
              <w:left w:val="nil"/>
              <w:bottom w:val="single" w:sz="4" w:space="0" w:color="auto"/>
              <w:right w:val="single" w:sz="4" w:space="0" w:color="auto"/>
            </w:tcBorders>
          </w:tcPr>
          <w:p w:rsidR="00FD11DC" w:rsidRPr="00FD11DC" w:rsidRDefault="00FD11DC" w:rsidP="00FD11DC">
            <w:pPr>
              <w:spacing w:after="0" w:line="240" w:lineRule="auto"/>
              <w:rPr>
                <w:rFonts w:eastAsia="Times New Roman" w:cs="Arial"/>
                <w:sz w:val="20"/>
                <w:szCs w:val="20"/>
                <w:lang w:eastAsia="en-GB"/>
              </w:rPr>
            </w:pPr>
          </w:p>
        </w:tc>
      </w:tr>
      <w:tr w:rsidR="00FD11DC" w:rsidRPr="00F95114" w:rsidTr="00531B4A">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D11DC" w:rsidRPr="00531B4A" w:rsidRDefault="00FD11DC" w:rsidP="00FD11DC">
            <w:pPr>
              <w:spacing w:after="0" w:line="240" w:lineRule="auto"/>
              <w:jc w:val="center"/>
              <w:rPr>
                <w:rFonts w:eastAsia="Times New Roman" w:cs="Arial"/>
                <w:sz w:val="20"/>
                <w:szCs w:val="20"/>
                <w:lang w:eastAsia="en-GB"/>
              </w:rPr>
            </w:pPr>
            <w:r w:rsidRPr="00531B4A">
              <w:rPr>
                <w:b/>
                <w:color w:val="000000" w:themeColor="text1"/>
                <w:sz w:val="20"/>
                <w:szCs w:val="20"/>
              </w:rPr>
              <w:t>Pendle</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D11DC" w:rsidRPr="00531B4A" w:rsidRDefault="00FD11DC" w:rsidP="00FD11DC">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FD11DC" w:rsidRPr="00531B4A" w:rsidRDefault="00FD11DC" w:rsidP="00FD11DC">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FD11DC" w:rsidRPr="00531B4A" w:rsidRDefault="00FD11DC" w:rsidP="00FD11DC">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FD11DC" w:rsidRPr="00531B4A" w:rsidRDefault="00FD11DC" w:rsidP="00FD11DC">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r>
      <w:tr w:rsidR="00DF0BB5"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BB5" w:rsidRPr="00DF0BB5" w:rsidRDefault="00DF0BB5" w:rsidP="00DF0BB5">
            <w:pPr>
              <w:spacing w:after="0" w:line="240" w:lineRule="auto"/>
              <w:rPr>
                <w:rFonts w:eastAsia="Times New Roman" w:cs="Arial"/>
                <w:sz w:val="20"/>
                <w:szCs w:val="20"/>
                <w:lang w:eastAsia="en-GB"/>
              </w:rPr>
            </w:pPr>
            <w:proofErr w:type="spellStart"/>
            <w:r w:rsidRPr="00DF0BB5">
              <w:rPr>
                <w:rFonts w:eastAsia="Times New Roman" w:cs="Arial"/>
                <w:sz w:val="20"/>
                <w:szCs w:val="20"/>
                <w:lang w:eastAsia="en-GB"/>
              </w:rPr>
              <w:t>Wycoller</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Bank House</w:t>
            </w:r>
            <w:r w:rsidRPr="00DF0BB5">
              <w:rPr>
                <w:rFonts w:eastAsia="Times New Roman" w:cs="Arial"/>
                <w:sz w:val="16"/>
                <w:szCs w:val="16"/>
                <w:lang w:eastAsia="en-GB"/>
              </w:rPr>
              <w:t xml:space="preserve">(part of </w:t>
            </w:r>
            <w:proofErr w:type="spellStart"/>
            <w:r w:rsidRPr="00DF0BB5">
              <w:rPr>
                <w:rFonts w:eastAsia="Times New Roman" w:cs="Arial"/>
                <w:sz w:val="16"/>
                <w:szCs w:val="16"/>
                <w:lang w:eastAsia="en-GB"/>
              </w:rPr>
              <w:t>Wycoller</w:t>
            </w:r>
            <w:proofErr w:type="spellEnd"/>
            <w:r w:rsidRPr="00DF0BB5">
              <w:rPr>
                <w:rFonts w:eastAsia="Times New Roman" w:cs="Arial"/>
                <w:sz w:val="16"/>
                <w:szCs w:val="16"/>
                <w:lang w:eastAsia="en-GB"/>
              </w:rPr>
              <w:t>)</w:t>
            </w:r>
          </w:p>
        </w:tc>
        <w:tc>
          <w:tcPr>
            <w:tcW w:w="1933" w:type="dxa"/>
            <w:tcBorders>
              <w:top w:val="single" w:sz="4" w:space="0" w:color="auto"/>
              <w:left w:val="nil"/>
              <w:bottom w:val="single" w:sz="4" w:space="0" w:color="auto"/>
              <w:right w:val="single" w:sz="4" w:space="0" w:color="auto"/>
            </w:tcBorders>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Recreation</w:t>
            </w:r>
          </w:p>
        </w:tc>
      </w:tr>
      <w:tr w:rsidR="00DF0BB5"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Raven Rock</w:t>
            </w:r>
            <w:r>
              <w:rPr>
                <w:rFonts w:eastAsia="Times New Roman" w:cs="Arial"/>
                <w:sz w:val="20"/>
                <w:szCs w:val="20"/>
                <w:lang w:eastAsia="en-GB"/>
              </w:rPr>
              <w:t xml:space="preserve"> </w:t>
            </w:r>
            <w:r w:rsidRPr="00DF0BB5">
              <w:rPr>
                <w:rFonts w:eastAsia="Times New Roman" w:cs="Arial"/>
                <w:sz w:val="16"/>
                <w:szCs w:val="16"/>
                <w:lang w:eastAsia="en-GB"/>
              </w:rPr>
              <w:t xml:space="preserve">(part of </w:t>
            </w:r>
            <w:proofErr w:type="spellStart"/>
            <w:r w:rsidRPr="00DF0BB5">
              <w:rPr>
                <w:rFonts w:eastAsia="Times New Roman" w:cs="Arial"/>
                <w:sz w:val="16"/>
                <w:szCs w:val="16"/>
                <w:lang w:eastAsia="en-GB"/>
              </w:rPr>
              <w:t>Wycoller</w:t>
            </w:r>
            <w:proofErr w:type="spellEnd"/>
            <w:r w:rsidRPr="00DF0BB5">
              <w:rPr>
                <w:rFonts w:eastAsia="Times New Roman" w:cs="Arial"/>
                <w:sz w:val="16"/>
                <w:szCs w:val="16"/>
                <w:lang w:eastAsia="en-GB"/>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DF0BB5" w:rsidRPr="00DF0BB5" w:rsidRDefault="00DF0BB5" w:rsidP="00DF0BB5">
            <w:pPr>
              <w:spacing w:after="0" w:line="240" w:lineRule="auto"/>
              <w:rPr>
                <w:rFonts w:eastAsia="Times New Roman" w:cs="Arial"/>
                <w:sz w:val="20"/>
                <w:szCs w:val="20"/>
                <w:lang w:eastAsia="en-GB"/>
              </w:rPr>
            </w:pPr>
            <w:proofErr w:type="spellStart"/>
            <w:r w:rsidRPr="00DF0BB5">
              <w:rPr>
                <w:rFonts w:eastAsia="Times New Roman" w:cs="Arial"/>
                <w:sz w:val="20"/>
                <w:szCs w:val="20"/>
                <w:lang w:eastAsia="en-GB"/>
              </w:rPr>
              <w:t>Trawden</w:t>
            </w:r>
            <w:proofErr w:type="spellEnd"/>
            <w:r w:rsidRPr="00DF0BB5">
              <w:rPr>
                <w:rFonts w:eastAsia="Times New Roman" w:cs="Arial"/>
                <w:sz w:val="20"/>
                <w:szCs w:val="20"/>
                <w:lang w:eastAsia="en-GB"/>
              </w:rPr>
              <w:t xml:space="preserve"> Road</w:t>
            </w:r>
            <w:r>
              <w:rPr>
                <w:rFonts w:eastAsia="Times New Roman" w:cs="Arial"/>
                <w:sz w:val="20"/>
                <w:szCs w:val="20"/>
                <w:lang w:eastAsia="en-GB"/>
              </w:rPr>
              <w:t xml:space="preserve"> </w:t>
            </w:r>
            <w:r w:rsidRPr="00DF0BB5">
              <w:rPr>
                <w:rFonts w:eastAsia="Times New Roman" w:cs="Arial"/>
                <w:sz w:val="16"/>
                <w:szCs w:val="16"/>
                <w:lang w:eastAsia="en-GB"/>
              </w:rPr>
              <w:t xml:space="preserve">(part of </w:t>
            </w:r>
            <w:proofErr w:type="spellStart"/>
            <w:r w:rsidRPr="00DF0BB5">
              <w:rPr>
                <w:rFonts w:eastAsia="Times New Roman" w:cs="Arial"/>
                <w:sz w:val="16"/>
                <w:szCs w:val="16"/>
                <w:lang w:eastAsia="en-GB"/>
              </w:rPr>
              <w:t>Wycoller</w:t>
            </w:r>
            <w:proofErr w:type="spellEnd"/>
            <w:r w:rsidRPr="00DF0BB5">
              <w:rPr>
                <w:rFonts w:eastAsia="Times New Roman" w:cs="Arial"/>
                <w:sz w:val="16"/>
                <w:szCs w:val="16"/>
                <w:lang w:eastAsia="en-GB"/>
              </w:rPr>
              <w:t>)</w:t>
            </w:r>
          </w:p>
        </w:tc>
        <w:tc>
          <w:tcPr>
            <w:tcW w:w="1933" w:type="dxa"/>
            <w:tcBorders>
              <w:top w:val="single" w:sz="4" w:space="0" w:color="auto"/>
              <w:left w:val="nil"/>
              <w:bottom w:val="single" w:sz="4" w:space="0" w:color="auto"/>
              <w:right w:val="single" w:sz="4" w:space="0" w:color="auto"/>
            </w:tcBorders>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Recreation</w:t>
            </w:r>
          </w:p>
        </w:tc>
      </w:tr>
      <w:tr w:rsidR="00DF0BB5"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BB5" w:rsidRPr="00DF0BB5" w:rsidRDefault="00DF0BB5" w:rsidP="00DF0BB5">
            <w:pPr>
              <w:spacing w:after="0" w:line="240" w:lineRule="auto"/>
              <w:rPr>
                <w:rFonts w:eastAsia="Times New Roman" w:cs="Arial"/>
                <w:sz w:val="20"/>
                <w:szCs w:val="20"/>
                <w:lang w:eastAsia="en-GB"/>
              </w:rPr>
            </w:pPr>
            <w:proofErr w:type="spellStart"/>
            <w:r w:rsidRPr="00DF0BB5">
              <w:rPr>
                <w:rFonts w:eastAsia="Times New Roman" w:cs="Arial"/>
                <w:sz w:val="20"/>
                <w:szCs w:val="20"/>
                <w:lang w:eastAsia="en-GB"/>
              </w:rPr>
              <w:t>Turnhole</w:t>
            </w:r>
            <w:proofErr w:type="spellEnd"/>
            <w:r w:rsidRPr="00DF0BB5">
              <w:rPr>
                <w:rFonts w:eastAsia="Times New Roman" w:cs="Arial"/>
                <w:sz w:val="20"/>
                <w:szCs w:val="20"/>
                <w:lang w:eastAsia="en-GB"/>
              </w:rPr>
              <w:t xml:space="preserve"> Clough</w:t>
            </w:r>
            <w:r>
              <w:rPr>
                <w:rFonts w:eastAsia="Times New Roman" w:cs="Arial"/>
                <w:sz w:val="20"/>
                <w:szCs w:val="20"/>
                <w:lang w:eastAsia="en-GB"/>
              </w:rPr>
              <w:t xml:space="preserve"> </w:t>
            </w:r>
            <w:r w:rsidRPr="00DF0BB5">
              <w:rPr>
                <w:rFonts w:eastAsia="Times New Roman" w:cs="Arial"/>
                <w:sz w:val="16"/>
                <w:szCs w:val="16"/>
                <w:lang w:eastAsia="en-GB"/>
              </w:rPr>
              <w:t xml:space="preserve">(part of </w:t>
            </w:r>
            <w:proofErr w:type="spellStart"/>
            <w:r w:rsidRPr="00DF0BB5">
              <w:rPr>
                <w:rFonts w:eastAsia="Times New Roman" w:cs="Arial"/>
                <w:sz w:val="16"/>
                <w:szCs w:val="16"/>
                <w:lang w:eastAsia="en-GB"/>
              </w:rPr>
              <w:t>Wycoller</w:t>
            </w:r>
            <w:proofErr w:type="spellEnd"/>
            <w:r w:rsidRPr="00DF0BB5">
              <w:rPr>
                <w:rFonts w:eastAsia="Times New Roman" w:cs="Arial"/>
                <w:sz w:val="16"/>
                <w:szCs w:val="16"/>
                <w:lang w:eastAsia="en-GB"/>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Crank</w:t>
            </w:r>
            <w:r w:rsidRPr="00DF0BB5">
              <w:rPr>
                <w:rFonts w:eastAsia="Times New Roman" w:cs="Arial"/>
                <w:sz w:val="16"/>
                <w:szCs w:val="16"/>
                <w:lang w:eastAsia="en-GB"/>
              </w:rPr>
              <w:t xml:space="preserve">(part of </w:t>
            </w:r>
            <w:proofErr w:type="spellStart"/>
            <w:r w:rsidRPr="00DF0BB5">
              <w:rPr>
                <w:rFonts w:eastAsia="Times New Roman" w:cs="Arial"/>
                <w:sz w:val="16"/>
                <w:szCs w:val="16"/>
                <w:lang w:eastAsia="en-GB"/>
              </w:rPr>
              <w:t>Wycoller</w:t>
            </w:r>
            <w:proofErr w:type="spellEnd"/>
            <w:r w:rsidRPr="00DF0BB5">
              <w:rPr>
                <w:rFonts w:eastAsia="Times New Roman" w:cs="Arial"/>
                <w:sz w:val="16"/>
                <w:szCs w:val="16"/>
                <w:lang w:eastAsia="en-GB"/>
              </w:rPr>
              <w:t>)</w:t>
            </w:r>
          </w:p>
        </w:tc>
        <w:tc>
          <w:tcPr>
            <w:tcW w:w="1933" w:type="dxa"/>
            <w:tcBorders>
              <w:top w:val="single" w:sz="4" w:space="0" w:color="auto"/>
              <w:left w:val="nil"/>
              <w:bottom w:val="single" w:sz="4" w:space="0" w:color="auto"/>
              <w:right w:val="single" w:sz="4" w:space="0" w:color="auto"/>
            </w:tcBorders>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Recreation</w:t>
            </w:r>
          </w:p>
        </w:tc>
      </w:tr>
      <w:tr w:rsidR="00DF0BB5" w:rsidRPr="00F95114" w:rsidTr="00AF40B9">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F0BB5" w:rsidRPr="00531B4A" w:rsidRDefault="00DF0BB5" w:rsidP="00DF0BB5">
            <w:pPr>
              <w:spacing w:after="0" w:line="240" w:lineRule="auto"/>
              <w:jc w:val="center"/>
              <w:rPr>
                <w:rFonts w:eastAsia="Times New Roman" w:cs="Arial"/>
                <w:sz w:val="20"/>
                <w:szCs w:val="20"/>
                <w:lang w:eastAsia="en-GB"/>
              </w:rPr>
            </w:pPr>
            <w:r w:rsidRPr="00531B4A">
              <w:rPr>
                <w:b/>
                <w:color w:val="000000" w:themeColor="text1"/>
                <w:sz w:val="20"/>
                <w:szCs w:val="20"/>
              </w:rPr>
              <w:lastRenderedPageBreak/>
              <w:t>Pendle</w:t>
            </w:r>
            <w:r>
              <w:rPr>
                <w:b/>
                <w:color w:val="000000" w:themeColor="text1"/>
                <w:sz w:val="20"/>
                <w:szCs w:val="20"/>
              </w:rPr>
              <w:t xml:space="preserve"> (continued)</w:t>
            </w:r>
          </w:p>
        </w:tc>
      </w:tr>
      <w:tr w:rsidR="00DF0BB5"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0BB5" w:rsidRPr="00531B4A" w:rsidRDefault="00DF0BB5" w:rsidP="00DF0BB5">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DF0BB5" w:rsidRPr="00531B4A" w:rsidRDefault="00DF0BB5" w:rsidP="00DF0BB5">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DF0BB5" w:rsidRPr="00531B4A" w:rsidRDefault="00DF0BB5" w:rsidP="00DF0BB5">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DF0BB5" w:rsidRPr="00531B4A" w:rsidRDefault="00DF0BB5" w:rsidP="00DF0BB5">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r>
      <w:tr w:rsidR="003A2B80" w:rsidRPr="00F95114" w:rsidTr="00B25E41">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 xml:space="preserve">Copy House </w:t>
            </w:r>
            <w:r w:rsidRPr="003A2B80">
              <w:rPr>
                <w:rFonts w:eastAsia="Times New Roman" w:cs="Arial"/>
                <w:sz w:val="16"/>
                <w:szCs w:val="16"/>
                <w:lang w:eastAsia="en-GB"/>
              </w:rPr>
              <w:t xml:space="preserve">(part of </w:t>
            </w:r>
            <w:proofErr w:type="spellStart"/>
            <w:r w:rsidRPr="003A2B80">
              <w:rPr>
                <w:rFonts w:eastAsia="Times New Roman" w:cs="Arial"/>
                <w:sz w:val="16"/>
                <w:szCs w:val="16"/>
                <w:lang w:eastAsia="en-GB"/>
              </w:rPr>
              <w:t>Wycoller</w:t>
            </w:r>
            <w:proofErr w:type="spellEnd"/>
            <w:r w:rsidRPr="003A2B80">
              <w:rPr>
                <w:rFonts w:eastAsia="Times New Roman" w:cs="Arial"/>
                <w:sz w:val="16"/>
                <w:szCs w:val="16"/>
                <w:lang w:eastAsia="en-GB"/>
              </w:rPr>
              <w:t>)</w:t>
            </w:r>
          </w:p>
        </w:tc>
        <w:tc>
          <w:tcPr>
            <w:tcW w:w="1843" w:type="dxa"/>
            <w:tcBorders>
              <w:top w:val="single" w:sz="4" w:space="0" w:color="auto"/>
              <w:left w:val="nil"/>
              <w:bottom w:val="single" w:sz="4" w:space="0" w:color="auto"/>
              <w:right w:val="single" w:sz="4" w:space="0" w:color="auto"/>
            </w:tcBorders>
            <w:shd w:val="clear" w:color="auto" w:fill="auto"/>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proofErr w:type="spellStart"/>
            <w:r w:rsidRPr="003A2B80">
              <w:rPr>
                <w:rFonts w:eastAsia="Times New Roman" w:cs="Arial"/>
                <w:sz w:val="20"/>
                <w:szCs w:val="20"/>
                <w:lang w:eastAsia="en-GB"/>
              </w:rPr>
              <w:t>Brierfield</w:t>
            </w:r>
            <w:proofErr w:type="spellEnd"/>
          </w:p>
        </w:tc>
        <w:tc>
          <w:tcPr>
            <w:tcW w:w="193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Reclamation</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Barley Bank</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proofErr w:type="spellStart"/>
            <w:r w:rsidRPr="003A2B80">
              <w:rPr>
                <w:rFonts w:eastAsia="Times New Roman" w:cs="Arial"/>
                <w:sz w:val="20"/>
                <w:szCs w:val="20"/>
                <w:lang w:eastAsia="en-GB"/>
              </w:rPr>
              <w:t>Clogger</w:t>
            </w:r>
            <w:proofErr w:type="spellEnd"/>
            <w:r w:rsidRPr="003A2B80">
              <w:rPr>
                <w:rFonts w:eastAsia="Times New Roman" w:cs="Arial"/>
                <w:sz w:val="20"/>
                <w:szCs w:val="20"/>
                <w:lang w:eastAsia="en-GB"/>
              </w:rPr>
              <w:t xml:space="preserve"> Copse</w:t>
            </w:r>
          </w:p>
        </w:tc>
        <w:tc>
          <w:tcPr>
            <w:tcW w:w="193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Forestry</w:t>
            </w:r>
          </w:p>
        </w:tc>
      </w:tr>
      <w:tr w:rsidR="003A2B80" w:rsidRPr="00F95114" w:rsidTr="00412097">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3A2B80" w:rsidRDefault="003A2B80" w:rsidP="003A2B80">
            <w:pPr>
              <w:spacing w:after="0" w:line="240" w:lineRule="auto"/>
              <w:rPr>
                <w:rFonts w:eastAsia="Times New Roman" w:cs="Arial"/>
                <w:sz w:val="20"/>
                <w:szCs w:val="20"/>
                <w:lang w:eastAsia="en-GB"/>
              </w:rPr>
            </w:pPr>
            <w:proofErr w:type="spellStart"/>
            <w:r w:rsidRPr="003A2B80">
              <w:rPr>
                <w:rFonts w:eastAsia="Times New Roman" w:cs="Arial"/>
                <w:sz w:val="20"/>
                <w:szCs w:val="20"/>
                <w:lang w:eastAsia="en-GB"/>
              </w:rPr>
              <w:t>Catlow</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College Copse</w:t>
            </w:r>
          </w:p>
        </w:tc>
        <w:tc>
          <w:tcPr>
            <w:tcW w:w="193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Forestry</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3A2B80" w:rsidRDefault="003A2B80" w:rsidP="003A2B80">
            <w:pPr>
              <w:spacing w:after="0" w:line="240" w:lineRule="auto"/>
              <w:rPr>
                <w:rFonts w:eastAsia="Times New Roman" w:cs="Arial"/>
                <w:sz w:val="20"/>
                <w:szCs w:val="20"/>
                <w:lang w:eastAsia="en-GB"/>
              </w:rPr>
            </w:pPr>
            <w:proofErr w:type="spellStart"/>
            <w:r w:rsidRPr="003A2B80">
              <w:rPr>
                <w:rFonts w:eastAsia="Times New Roman" w:cs="Arial"/>
                <w:sz w:val="20"/>
                <w:szCs w:val="20"/>
                <w:lang w:eastAsia="en-GB"/>
              </w:rPr>
              <w:t>Winewalls</w:t>
            </w:r>
            <w:proofErr w:type="spellEnd"/>
            <w:r w:rsidRPr="003A2B80">
              <w:rPr>
                <w:rFonts w:eastAsia="Times New Roman" w:cs="Arial"/>
                <w:sz w:val="20"/>
                <w:szCs w:val="20"/>
                <w:lang w:eastAsia="en-GB"/>
              </w:rPr>
              <w:t xml:space="preserve"> Mill</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Quarry Hill Nature Reserve</w:t>
            </w:r>
          </w:p>
        </w:tc>
        <w:tc>
          <w:tcPr>
            <w:tcW w:w="193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Reclamation</w:t>
            </w:r>
          </w:p>
        </w:tc>
      </w:tr>
      <w:tr w:rsidR="003A2B80" w:rsidRPr="00F95114" w:rsidTr="00AF40B9">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A2B80" w:rsidRPr="00AF40B9" w:rsidRDefault="003A2B80" w:rsidP="003A2B80">
            <w:pPr>
              <w:spacing w:after="0" w:line="240" w:lineRule="auto"/>
              <w:jc w:val="center"/>
              <w:rPr>
                <w:rFonts w:eastAsia="Times New Roman" w:cs="Arial"/>
                <w:sz w:val="20"/>
                <w:szCs w:val="20"/>
                <w:lang w:eastAsia="en-GB"/>
              </w:rPr>
            </w:pPr>
            <w:r w:rsidRPr="00AF40B9">
              <w:rPr>
                <w:b/>
                <w:color w:val="000000" w:themeColor="text1"/>
                <w:sz w:val="20"/>
                <w:szCs w:val="20"/>
              </w:rPr>
              <w:t>Preston</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B80" w:rsidRPr="00531B4A" w:rsidRDefault="003A2B80" w:rsidP="003A2B80">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531B4A" w:rsidRDefault="003A2B80" w:rsidP="003A2B80">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531B4A" w:rsidRDefault="003A2B80" w:rsidP="003A2B80">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531B4A" w:rsidRDefault="003A2B80" w:rsidP="003A2B80">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AF40B9" w:rsidRDefault="003A2B80" w:rsidP="003A2B80">
            <w:pPr>
              <w:spacing w:after="0" w:line="240" w:lineRule="auto"/>
              <w:rPr>
                <w:rFonts w:eastAsia="Times New Roman" w:cs="Arial"/>
                <w:sz w:val="20"/>
                <w:szCs w:val="20"/>
                <w:lang w:eastAsia="en-GB"/>
              </w:rPr>
            </w:pPr>
            <w:r w:rsidRPr="00AF40B9">
              <w:rPr>
                <w:rFonts w:eastAsia="Times New Roman" w:cs="Arial"/>
                <w:sz w:val="20"/>
                <w:szCs w:val="20"/>
                <w:lang w:eastAsia="en-GB"/>
              </w:rPr>
              <w:t>Beacon Fell</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AF40B9" w:rsidRDefault="003A2B80" w:rsidP="003A2B80">
            <w:pPr>
              <w:spacing w:after="0" w:line="240" w:lineRule="auto"/>
              <w:rPr>
                <w:rFonts w:eastAsia="Times New Roman" w:cs="Arial"/>
                <w:sz w:val="20"/>
                <w:szCs w:val="20"/>
                <w:lang w:eastAsia="en-GB"/>
              </w:rPr>
            </w:pPr>
            <w:r w:rsidRPr="00AF40B9">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3A2B80" w:rsidRPr="00AF40B9" w:rsidRDefault="003A2B80" w:rsidP="003A2B80">
            <w:pPr>
              <w:spacing w:after="0" w:line="240" w:lineRule="auto"/>
              <w:rPr>
                <w:rFonts w:eastAsia="Times New Roman" w:cs="Arial"/>
                <w:sz w:val="20"/>
                <w:szCs w:val="20"/>
                <w:lang w:eastAsia="en-GB"/>
              </w:rPr>
            </w:pPr>
            <w:r>
              <w:rPr>
                <w:rFonts w:eastAsia="Times New Roman" w:cs="Arial"/>
                <w:sz w:val="20"/>
                <w:szCs w:val="20"/>
                <w:lang w:eastAsia="en-GB"/>
              </w:rPr>
              <w:t xml:space="preserve">Oxford Street / </w:t>
            </w:r>
            <w:proofErr w:type="spellStart"/>
            <w:r w:rsidRPr="00AF40B9">
              <w:rPr>
                <w:rFonts w:eastAsia="Times New Roman" w:cs="Arial"/>
                <w:sz w:val="20"/>
                <w:szCs w:val="20"/>
                <w:lang w:eastAsia="en-GB"/>
              </w:rPr>
              <w:t>Avenham</w:t>
            </w:r>
            <w:proofErr w:type="spellEnd"/>
            <w:r w:rsidRPr="00AF40B9">
              <w:rPr>
                <w:rFonts w:eastAsia="Times New Roman" w:cs="Arial"/>
                <w:sz w:val="20"/>
                <w:szCs w:val="20"/>
                <w:lang w:eastAsia="en-GB"/>
              </w:rPr>
              <w:t xml:space="preserve"> Park</w:t>
            </w:r>
          </w:p>
        </w:tc>
        <w:tc>
          <w:tcPr>
            <w:tcW w:w="1933" w:type="dxa"/>
            <w:tcBorders>
              <w:top w:val="single" w:sz="4" w:space="0" w:color="auto"/>
              <w:left w:val="nil"/>
              <w:bottom w:val="single" w:sz="4" w:space="0" w:color="auto"/>
              <w:right w:val="single" w:sz="4" w:space="0" w:color="auto"/>
            </w:tcBorders>
            <w:vAlign w:val="center"/>
          </w:tcPr>
          <w:p w:rsidR="003A2B80" w:rsidRPr="00AF40B9" w:rsidRDefault="003A2B80" w:rsidP="003A2B80">
            <w:pPr>
              <w:spacing w:after="0" w:line="240" w:lineRule="auto"/>
              <w:rPr>
                <w:rFonts w:eastAsia="Times New Roman" w:cs="Arial"/>
                <w:sz w:val="20"/>
                <w:szCs w:val="20"/>
                <w:lang w:eastAsia="en-GB"/>
              </w:rPr>
            </w:pPr>
            <w:r w:rsidRPr="00AF40B9">
              <w:rPr>
                <w:rFonts w:eastAsia="Times New Roman" w:cs="Arial"/>
                <w:sz w:val="20"/>
                <w:szCs w:val="20"/>
                <w:lang w:eastAsia="en-GB"/>
              </w:rPr>
              <w:t>Reclamation</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AF40B9" w:rsidRDefault="003A2B80" w:rsidP="003A2B80">
            <w:pPr>
              <w:spacing w:after="0" w:line="240" w:lineRule="auto"/>
              <w:rPr>
                <w:rFonts w:eastAsia="Times New Roman" w:cs="Arial"/>
                <w:sz w:val="20"/>
                <w:szCs w:val="20"/>
                <w:lang w:eastAsia="en-GB"/>
              </w:rPr>
            </w:pPr>
            <w:r w:rsidRPr="00AF40B9">
              <w:rPr>
                <w:rFonts w:eastAsia="Times New Roman" w:cs="Arial"/>
                <w:sz w:val="20"/>
                <w:szCs w:val="20"/>
                <w:lang w:eastAsia="en-GB"/>
              </w:rPr>
              <w:t>Lea Gate</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AF40B9" w:rsidRDefault="003A2B80" w:rsidP="003A2B80">
            <w:pPr>
              <w:spacing w:after="0" w:line="240" w:lineRule="auto"/>
              <w:rPr>
                <w:rFonts w:eastAsia="Times New Roman" w:cs="Arial"/>
                <w:sz w:val="20"/>
                <w:szCs w:val="20"/>
                <w:lang w:eastAsia="en-GB"/>
              </w:rPr>
            </w:pPr>
            <w:r w:rsidRPr="00AF40B9">
              <w:rPr>
                <w:rFonts w:eastAsia="Times New Roman" w:cs="Arial"/>
                <w:sz w:val="20"/>
                <w:szCs w:val="20"/>
                <w:lang w:eastAsia="en-GB"/>
              </w:rPr>
              <w:t>Reclamation</w:t>
            </w:r>
          </w:p>
        </w:tc>
        <w:tc>
          <w:tcPr>
            <w:tcW w:w="2693" w:type="dxa"/>
            <w:tcBorders>
              <w:top w:val="single" w:sz="4" w:space="0" w:color="auto"/>
              <w:left w:val="nil"/>
              <w:bottom w:val="single" w:sz="4" w:space="0" w:color="auto"/>
              <w:right w:val="single" w:sz="4" w:space="0" w:color="auto"/>
            </w:tcBorders>
            <w:vAlign w:val="center"/>
          </w:tcPr>
          <w:p w:rsidR="003A2B80" w:rsidRPr="00AF40B9" w:rsidRDefault="003A2B80" w:rsidP="003A2B80">
            <w:pPr>
              <w:spacing w:after="0" w:line="240" w:lineRule="auto"/>
              <w:rPr>
                <w:rFonts w:eastAsia="Times New Roman" w:cs="Arial"/>
                <w:sz w:val="20"/>
                <w:szCs w:val="20"/>
                <w:lang w:eastAsia="en-GB"/>
              </w:rPr>
            </w:pPr>
          </w:p>
        </w:tc>
        <w:tc>
          <w:tcPr>
            <w:tcW w:w="1933" w:type="dxa"/>
            <w:tcBorders>
              <w:top w:val="single" w:sz="4" w:space="0" w:color="auto"/>
              <w:left w:val="nil"/>
              <w:bottom w:val="single" w:sz="4" w:space="0" w:color="auto"/>
              <w:right w:val="single" w:sz="4" w:space="0" w:color="auto"/>
            </w:tcBorders>
            <w:vAlign w:val="center"/>
          </w:tcPr>
          <w:p w:rsidR="003A2B80" w:rsidRPr="00AF40B9" w:rsidRDefault="003A2B80" w:rsidP="003A2B80">
            <w:pPr>
              <w:spacing w:after="0" w:line="240" w:lineRule="auto"/>
              <w:rPr>
                <w:rFonts w:eastAsia="Times New Roman" w:cs="Arial"/>
                <w:sz w:val="20"/>
                <w:szCs w:val="20"/>
                <w:lang w:eastAsia="en-GB"/>
              </w:rPr>
            </w:pPr>
          </w:p>
        </w:tc>
      </w:tr>
      <w:tr w:rsidR="003A2B80" w:rsidRPr="00F95114" w:rsidTr="00AF40B9">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B80" w:rsidRPr="00CA79B3" w:rsidRDefault="003A2B80" w:rsidP="003A2B80">
            <w:pPr>
              <w:spacing w:after="0" w:line="240" w:lineRule="auto"/>
              <w:jc w:val="center"/>
              <w:rPr>
                <w:b/>
                <w:color w:val="000000" w:themeColor="text1"/>
                <w:sz w:val="20"/>
                <w:szCs w:val="20"/>
              </w:rPr>
            </w:pPr>
            <w:r w:rsidRPr="00CA79B3">
              <w:rPr>
                <w:b/>
                <w:color w:val="000000" w:themeColor="text1"/>
                <w:sz w:val="20"/>
                <w:szCs w:val="20"/>
              </w:rPr>
              <w:t>Ribble Valley</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CA79B3" w:rsidRDefault="003A2B80" w:rsidP="003A2B80">
            <w:pPr>
              <w:spacing w:after="0" w:line="240" w:lineRule="auto"/>
              <w:rPr>
                <w:rFonts w:eastAsia="Times New Roman" w:cs="Arial"/>
                <w:sz w:val="20"/>
                <w:szCs w:val="20"/>
                <w:lang w:eastAsia="en-GB"/>
              </w:rPr>
            </w:pPr>
            <w:proofErr w:type="spellStart"/>
            <w:r w:rsidRPr="00CA79B3">
              <w:rPr>
                <w:rFonts w:eastAsia="Times New Roman" w:cs="Arial"/>
                <w:sz w:val="20"/>
                <w:szCs w:val="20"/>
                <w:lang w:eastAsia="en-GB"/>
              </w:rPr>
              <w:t>Billington</w:t>
            </w:r>
            <w:proofErr w:type="spellEnd"/>
            <w:r w:rsidRPr="00CA79B3">
              <w:rPr>
                <w:rFonts w:eastAsia="Times New Roman" w:cs="Arial"/>
                <w:sz w:val="20"/>
                <w:szCs w:val="20"/>
                <w:lang w:eastAsia="en-GB"/>
              </w:rPr>
              <w:t xml:space="preserve"> Moor</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3A2B80" w:rsidRPr="00CA79B3" w:rsidRDefault="003A2B80" w:rsidP="003A2B80">
            <w:pPr>
              <w:spacing w:after="0" w:line="240" w:lineRule="auto"/>
              <w:rPr>
                <w:rFonts w:eastAsia="Times New Roman" w:cs="Arial"/>
                <w:sz w:val="20"/>
                <w:szCs w:val="20"/>
                <w:lang w:eastAsia="en-GB"/>
              </w:rPr>
            </w:pPr>
            <w:proofErr w:type="spellStart"/>
            <w:r w:rsidRPr="00CA79B3">
              <w:rPr>
                <w:rFonts w:eastAsia="Times New Roman" w:cs="Arial"/>
                <w:sz w:val="20"/>
                <w:szCs w:val="20"/>
                <w:lang w:eastAsia="en-GB"/>
              </w:rPr>
              <w:t>Marles</w:t>
            </w:r>
            <w:proofErr w:type="spellEnd"/>
            <w:r w:rsidRPr="00CA79B3">
              <w:rPr>
                <w:rFonts w:eastAsia="Times New Roman" w:cs="Arial"/>
                <w:sz w:val="20"/>
                <w:szCs w:val="20"/>
                <w:lang w:eastAsia="en-GB"/>
              </w:rPr>
              <w:t xml:space="preserve"> Wood</w:t>
            </w:r>
          </w:p>
        </w:tc>
        <w:tc>
          <w:tcPr>
            <w:tcW w:w="1933" w:type="dxa"/>
            <w:tcBorders>
              <w:top w:val="single" w:sz="4" w:space="0" w:color="auto"/>
              <w:left w:val="nil"/>
              <w:bottom w:val="single" w:sz="4" w:space="0" w:color="auto"/>
              <w:right w:val="single" w:sz="4" w:space="0" w:color="auto"/>
            </w:tcBorders>
            <w:vAlign w:val="center"/>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Recreation</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Spring Wood</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Barker Brow</w:t>
            </w:r>
          </w:p>
        </w:tc>
        <w:tc>
          <w:tcPr>
            <w:tcW w:w="1933" w:type="dxa"/>
            <w:tcBorders>
              <w:top w:val="single" w:sz="4" w:space="0" w:color="auto"/>
              <w:left w:val="nil"/>
              <w:bottom w:val="single" w:sz="4" w:space="0" w:color="auto"/>
              <w:right w:val="single" w:sz="4" w:space="0" w:color="auto"/>
            </w:tcBorders>
            <w:vAlign w:val="center"/>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Recreation</w:t>
            </w:r>
          </w:p>
        </w:tc>
      </w:tr>
      <w:tr w:rsidR="003A2B80" w:rsidRPr="00F95114" w:rsidTr="00D14AE8">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A2B80" w:rsidRPr="00D14AE8" w:rsidRDefault="003A2B80" w:rsidP="003A2B80">
            <w:pPr>
              <w:spacing w:after="0" w:line="240" w:lineRule="auto"/>
              <w:jc w:val="center"/>
              <w:rPr>
                <w:rFonts w:eastAsia="Times New Roman" w:cs="Arial"/>
                <w:b/>
                <w:sz w:val="20"/>
                <w:szCs w:val="20"/>
                <w:lang w:eastAsia="en-GB"/>
              </w:rPr>
            </w:pPr>
            <w:r w:rsidRPr="00D14AE8">
              <w:rPr>
                <w:rFonts w:eastAsia="Times New Roman" w:cs="Arial"/>
                <w:b/>
                <w:sz w:val="20"/>
                <w:szCs w:val="20"/>
                <w:lang w:eastAsia="en-GB"/>
              </w:rPr>
              <w:t>Rossendale</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Greenfold</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Hightown</w:t>
            </w:r>
            <w:proofErr w:type="spellEnd"/>
            <w:r w:rsidRPr="00D14AE8">
              <w:rPr>
                <w:rFonts w:cs="Arial"/>
                <w:sz w:val="20"/>
                <w:szCs w:val="20"/>
              </w:rPr>
              <w:t xml:space="preserve"> (Height Top)</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r w:rsidRPr="00D14AE8">
              <w:rPr>
                <w:rFonts w:cs="Arial"/>
                <w:sz w:val="20"/>
                <w:szCs w:val="20"/>
              </w:rPr>
              <w:t>Sunnybank</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Thorn Bank</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r w:rsidRPr="00D14AE8">
              <w:rPr>
                <w:rFonts w:cs="Arial"/>
                <w:sz w:val="20"/>
                <w:szCs w:val="20"/>
              </w:rPr>
              <w:t>Bottomley Bank</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Scar End Hey</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Horncliffe</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Facit</w:t>
            </w:r>
            <w:proofErr w:type="spellEnd"/>
            <w:r w:rsidRPr="00D14AE8">
              <w:rPr>
                <w:rFonts w:cs="Arial"/>
                <w:sz w:val="20"/>
                <w:szCs w:val="20"/>
              </w:rPr>
              <w:t xml:space="preserve"> Quarries</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Reclamation</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r w:rsidRPr="00D14AE8">
              <w:rPr>
                <w:rFonts w:cs="Arial"/>
                <w:sz w:val="20"/>
                <w:szCs w:val="20"/>
              </w:rPr>
              <w:t>Hall Carr</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Shore End</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Staghills</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Old Lane</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Hareholme</w:t>
            </w:r>
            <w:proofErr w:type="spellEnd"/>
            <w:r w:rsidRPr="00D14AE8">
              <w:rPr>
                <w:rFonts w:cs="Arial"/>
                <w:sz w:val="20"/>
                <w:szCs w:val="20"/>
              </w:rPr>
              <w:t xml:space="preserve"> I &amp; II</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Bacup</w:t>
            </w:r>
            <w:proofErr w:type="spellEnd"/>
            <w:r w:rsidRPr="00D14AE8">
              <w:rPr>
                <w:rFonts w:cs="Arial"/>
                <w:sz w:val="20"/>
                <w:szCs w:val="20"/>
              </w:rPr>
              <w:t xml:space="preserve"> </w:t>
            </w:r>
            <w:proofErr w:type="spellStart"/>
            <w:r w:rsidRPr="00D14AE8">
              <w:rPr>
                <w:rFonts w:cs="Arial"/>
                <w:sz w:val="20"/>
                <w:szCs w:val="20"/>
              </w:rPr>
              <w:t>Fearns</w:t>
            </w:r>
            <w:proofErr w:type="spellEnd"/>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Longholme</w:t>
            </w:r>
            <w:proofErr w:type="spellEnd"/>
            <w:r w:rsidRPr="00D14AE8">
              <w:rPr>
                <w:rFonts w:cs="Arial"/>
                <w:sz w:val="20"/>
                <w:szCs w:val="20"/>
              </w:rPr>
              <w:t xml:space="preserve"> I &amp; II</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Clough Head Quarry</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Reclamation</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r w:rsidRPr="00D14AE8">
              <w:rPr>
                <w:rFonts w:cs="Arial"/>
                <w:sz w:val="20"/>
                <w:szCs w:val="20"/>
              </w:rPr>
              <w:t>Tom Lane</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Landgate</w:t>
            </w:r>
            <w:proofErr w:type="spellEnd"/>
            <w:r w:rsidRPr="00D14AE8">
              <w:rPr>
                <w:rFonts w:cs="Arial"/>
                <w:sz w:val="20"/>
                <w:szCs w:val="20"/>
              </w:rPr>
              <w:t>/</w:t>
            </w:r>
            <w:r>
              <w:rPr>
                <w:rFonts w:cs="Arial"/>
                <w:sz w:val="20"/>
                <w:szCs w:val="20"/>
              </w:rPr>
              <w:t xml:space="preserve"> </w:t>
            </w:r>
            <w:r w:rsidRPr="00D14AE8">
              <w:rPr>
                <w:rFonts w:cs="Arial"/>
                <w:sz w:val="20"/>
                <w:szCs w:val="20"/>
              </w:rPr>
              <w:t>Moss</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Reclamation</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r w:rsidRPr="00D14AE8">
              <w:rPr>
                <w:rFonts w:cs="Arial"/>
                <w:sz w:val="20"/>
                <w:szCs w:val="20"/>
              </w:rPr>
              <w:t>Crow Wood</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Helmshore</w:t>
            </w:r>
            <w:proofErr w:type="spellEnd"/>
            <w:r w:rsidRPr="00D14AE8">
              <w:rPr>
                <w:rFonts w:cs="Arial"/>
                <w:sz w:val="20"/>
                <w:szCs w:val="20"/>
              </w:rPr>
              <w:t xml:space="preserve"> Disused Railway line</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Reclamation</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Siss</w:t>
            </w:r>
            <w:proofErr w:type="spellEnd"/>
            <w:r w:rsidRPr="00D14AE8">
              <w:rPr>
                <w:rFonts w:cs="Arial"/>
                <w:sz w:val="20"/>
                <w:szCs w:val="20"/>
              </w:rPr>
              <w:t xml:space="preserve"> Clough</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Troy Quarry</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Reclamation</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r w:rsidRPr="00D14AE8">
              <w:rPr>
                <w:rFonts w:cs="Arial"/>
                <w:sz w:val="20"/>
                <w:szCs w:val="20"/>
              </w:rPr>
              <w:t>Greave Clough</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Lee Quarry</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Reclamation</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Brandwood</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Reclamation</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p>
        </w:tc>
      </w:tr>
      <w:tr w:rsidR="003A2B80" w:rsidRPr="00F95114" w:rsidTr="00CA79B3">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A2B80" w:rsidRPr="00CA79B3" w:rsidRDefault="003A2B80" w:rsidP="003A2B80">
            <w:pPr>
              <w:spacing w:after="0" w:line="240" w:lineRule="auto"/>
              <w:jc w:val="center"/>
              <w:rPr>
                <w:rFonts w:eastAsia="Times New Roman" w:cs="Arial"/>
                <w:sz w:val="20"/>
                <w:szCs w:val="20"/>
                <w:lang w:eastAsia="en-GB"/>
              </w:rPr>
            </w:pPr>
            <w:r w:rsidRPr="00CA79B3">
              <w:rPr>
                <w:b/>
                <w:color w:val="000000" w:themeColor="text1"/>
                <w:sz w:val="20"/>
                <w:szCs w:val="20"/>
              </w:rPr>
              <w:t>South R</w:t>
            </w:r>
            <w:r w:rsidRPr="00CA79B3">
              <w:rPr>
                <w:b/>
                <w:color w:val="000000" w:themeColor="text1"/>
                <w:sz w:val="20"/>
                <w:szCs w:val="20"/>
                <w:shd w:val="clear" w:color="auto" w:fill="D9D9D9" w:themeFill="background1" w:themeFillShade="D9"/>
              </w:rPr>
              <w:t>ibble</w:t>
            </w:r>
          </w:p>
        </w:tc>
      </w:tr>
      <w:tr w:rsidR="003A2B80" w:rsidRPr="00F95114" w:rsidTr="00CA79B3">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r>
      <w:tr w:rsidR="003A2B80" w:rsidRPr="00F95114" w:rsidTr="00B5597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Bow Brook (</w:t>
            </w:r>
            <w:proofErr w:type="spellStart"/>
            <w:r w:rsidRPr="00CA79B3">
              <w:rPr>
                <w:rFonts w:eastAsia="Times New Roman" w:cs="Arial"/>
                <w:sz w:val="20"/>
                <w:szCs w:val="20"/>
                <w:lang w:eastAsia="en-GB"/>
              </w:rPr>
              <w:t>Holehouse</w:t>
            </w:r>
            <w:proofErr w:type="spellEnd"/>
            <w:r w:rsidRPr="00CA79B3">
              <w:rPr>
                <w:rFonts w:eastAsia="Times New Roman" w:cs="Arial"/>
                <w:sz w:val="20"/>
                <w:szCs w:val="20"/>
                <w:lang w:eastAsia="en-GB"/>
              </w:rPr>
              <w:t xml:space="preserve"> Farm)</w:t>
            </w:r>
          </w:p>
        </w:tc>
        <w:tc>
          <w:tcPr>
            <w:tcW w:w="1843" w:type="dxa"/>
            <w:tcBorders>
              <w:top w:val="single" w:sz="4" w:space="0" w:color="auto"/>
              <w:left w:val="nil"/>
              <w:bottom w:val="single" w:sz="4" w:space="0" w:color="auto"/>
              <w:right w:val="single" w:sz="4" w:space="0" w:color="auto"/>
            </w:tcBorders>
            <w:shd w:val="clear" w:color="auto" w:fill="auto"/>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Preston Junction</w:t>
            </w:r>
          </w:p>
        </w:tc>
        <w:tc>
          <w:tcPr>
            <w:tcW w:w="1933" w:type="dxa"/>
            <w:tcBorders>
              <w:top w:val="single" w:sz="4" w:space="0" w:color="auto"/>
              <w:left w:val="nil"/>
              <w:bottom w:val="single" w:sz="4" w:space="0" w:color="auto"/>
              <w:right w:val="single" w:sz="4" w:space="0" w:color="auto"/>
            </w:tcBorders>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Recreation</w:t>
            </w:r>
          </w:p>
        </w:tc>
      </w:tr>
      <w:tr w:rsidR="003A2B80" w:rsidRPr="00F95114" w:rsidTr="00200451">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A2B80" w:rsidRPr="00CA79B3" w:rsidRDefault="003A2B80" w:rsidP="003A2B80">
            <w:pPr>
              <w:spacing w:after="0" w:line="240" w:lineRule="auto"/>
              <w:rPr>
                <w:rFonts w:eastAsia="Times New Roman" w:cs="Arial"/>
                <w:b/>
                <w:sz w:val="20"/>
                <w:szCs w:val="20"/>
                <w:lang w:eastAsia="en-GB"/>
              </w:rPr>
            </w:pPr>
            <w:proofErr w:type="spellStart"/>
            <w:r w:rsidRPr="00CA79B3">
              <w:rPr>
                <w:rFonts w:eastAsia="Times New Roman" w:cs="Arial"/>
                <w:sz w:val="20"/>
                <w:szCs w:val="20"/>
                <w:lang w:eastAsia="en-GB"/>
              </w:rPr>
              <w:t>Hennel</w:t>
            </w:r>
            <w:proofErr w:type="spellEnd"/>
            <w:r w:rsidRPr="00CA79B3">
              <w:rPr>
                <w:rFonts w:eastAsia="Times New Roman" w:cs="Arial"/>
                <w:sz w:val="20"/>
                <w:szCs w:val="20"/>
                <w:lang w:eastAsia="en-GB"/>
              </w:rPr>
              <w:t xml:space="preserve"> Lane / Carr Wood</w:t>
            </w:r>
          </w:p>
        </w:tc>
        <w:tc>
          <w:tcPr>
            <w:tcW w:w="1843" w:type="dxa"/>
            <w:tcBorders>
              <w:top w:val="single" w:sz="4" w:space="0" w:color="auto"/>
              <w:left w:val="nil"/>
              <w:bottom w:val="single" w:sz="4" w:space="0" w:color="auto"/>
              <w:right w:val="single" w:sz="4" w:space="0" w:color="auto"/>
            </w:tcBorders>
            <w:shd w:val="clear" w:color="auto" w:fill="auto"/>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3A2B80" w:rsidRPr="00CA79B3" w:rsidRDefault="003A2B80" w:rsidP="003A2B80">
            <w:pPr>
              <w:spacing w:after="0" w:line="240" w:lineRule="auto"/>
              <w:rPr>
                <w:rFonts w:eastAsia="Times New Roman" w:cs="Arial"/>
                <w:sz w:val="20"/>
                <w:szCs w:val="20"/>
                <w:lang w:eastAsia="en-GB"/>
              </w:rPr>
            </w:pPr>
          </w:p>
        </w:tc>
        <w:tc>
          <w:tcPr>
            <w:tcW w:w="1933" w:type="dxa"/>
            <w:tcBorders>
              <w:top w:val="single" w:sz="4" w:space="0" w:color="auto"/>
              <w:left w:val="nil"/>
              <w:bottom w:val="single" w:sz="4" w:space="0" w:color="auto"/>
              <w:right w:val="single" w:sz="4" w:space="0" w:color="auto"/>
            </w:tcBorders>
            <w:vAlign w:val="center"/>
          </w:tcPr>
          <w:p w:rsidR="003A2B80" w:rsidRPr="00CA79B3" w:rsidRDefault="003A2B80" w:rsidP="003A2B80">
            <w:pPr>
              <w:spacing w:after="0" w:line="240" w:lineRule="auto"/>
              <w:rPr>
                <w:rFonts w:eastAsia="Times New Roman" w:cs="Arial"/>
                <w:sz w:val="20"/>
                <w:szCs w:val="20"/>
                <w:lang w:eastAsia="en-GB"/>
              </w:rPr>
            </w:pPr>
          </w:p>
        </w:tc>
      </w:tr>
      <w:tr w:rsidR="003A2B80" w:rsidRPr="00F95114" w:rsidTr="00CA79B3">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A2B80" w:rsidRPr="00CA79B3" w:rsidRDefault="003A2B80" w:rsidP="003A2B80">
            <w:pPr>
              <w:spacing w:after="0" w:line="240" w:lineRule="auto"/>
              <w:jc w:val="center"/>
              <w:rPr>
                <w:rFonts w:eastAsia="Times New Roman" w:cs="Arial"/>
                <w:sz w:val="20"/>
                <w:szCs w:val="20"/>
                <w:lang w:eastAsia="en-GB"/>
              </w:rPr>
            </w:pPr>
            <w:r w:rsidRPr="00CA79B3">
              <w:rPr>
                <w:b/>
                <w:color w:val="000000" w:themeColor="text1"/>
                <w:sz w:val="20"/>
                <w:szCs w:val="20"/>
              </w:rPr>
              <w:t>West Lancashire</w:t>
            </w:r>
          </w:p>
        </w:tc>
      </w:tr>
      <w:tr w:rsidR="003A2B80" w:rsidRPr="00F95114" w:rsidTr="00CA79B3">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r>
      <w:tr w:rsidR="003A2B80" w:rsidRPr="00F95114" w:rsidTr="00E9363B">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Bickerstaffe I</w:t>
            </w:r>
          </w:p>
        </w:tc>
        <w:tc>
          <w:tcPr>
            <w:tcW w:w="1843" w:type="dxa"/>
            <w:tcBorders>
              <w:top w:val="single" w:sz="4" w:space="0" w:color="auto"/>
              <w:left w:val="nil"/>
              <w:bottom w:val="single" w:sz="4" w:space="0" w:color="auto"/>
              <w:right w:val="single" w:sz="4" w:space="0" w:color="auto"/>
            </w:tcBorders>
            <w:shd w:val="clear" w:color="auto" w:fill="auto"/>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 xml:space="preserve">Mere Brow - </w:t>
            </w:r>
            <w:proofErr w:type="spellStart"/>
            <w:r w:rsidRPr="00CA79B3">
              <w:rPr>
                <w:rFonts w:eastAsia="Times New Roman" w:cs="Arial"/>
                <w:sz w:val="20"/>
                <w:szCs w:val="20"/>
                <w:lang w:eastAsia="en-GB"/>
              </w:rPr>
              <w:t>Holmeswood</w:t>
            </w:r>
            <w:proofErr w:type="spellEnd"/>
          </w:p>
        </w:tc>
        <w:tc>
          <w:tcPr>
            <w:tcW w:w="1933" w:type="dxa"/>
            <w:tcBorders>
              <w:top w:val="single" w:sz="4" w:space="0" w:color="auto"/>
              <w:left w:val="nil"/>
              <w:bottom w:val="single" w:sz="4" w:space="0" w:color="auto"/>
              <w:right w:val="single" w:sz="4" w:space="0" w:color="auto"/>
            </w:tcBorders>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Forestry</w:t>
            </w:r>
          </w:p>
        </w:tc>
      </w:tr>
      <w:tr w:rsidR="003A2B80" w:rsidRPr="00F95114" w:rsidTr="00CA79B3">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A2B80" w:rsidRPr="00CA79B3" w:rsidRDefault="003A2B80" w:rsidP="003A2B80">
            <w:pPr>
              <w:spacing w:after="0" w:line="240" w:lineRule="auto"/>
              <w:jc w:val="center"/>
              <w:rPr>
                <w:rFonts w:eastAsia="Times New Roman" w:cs="Arial"/>
                <w:sz w:val="20"/>
                <w:szCs w:val="20"/>
                <w:lang w:eastAsia="en-GB"/>
              </w:rPr>
            </w:pPr>
            <w:r w:rsidRPr="00CA79B3">
              <w:rPr>
                <w:b/>
                <w:color w:val="000000" w:themeColor="text1"/>
                <w:sz w:val="20"/>
                <w:szCs w:val="20"/>
              </w:rPr>
              <w:t>Wyre</w:t>
            </w:r>
          </w:p>
        </w:tc>
      </w:tr>
      <w:tr w:rsidR="003A2B80" w:rsidRPr="00F95114" w:rsidTr="00CA79B3">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r>
      <w:tr w:rsidR="003A2B80" w:rsidRPr="00F95114" w:rsidTr="00E77B10">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Scorton</w:t>
            </w:r>
          </w:p>
        </w:tc>
        <w:tc>
          <w:tcPr>
            <w:tcW w:w="1843" w:type="dxa"/>
            <w:tcBorders>
              <w:top w:val="single" w:sz="4" w:space="0" w:color="auto"/>
              <w:left w:val="nil"/>
              <w:bottom w:val="single" w:sz="4" w:space="0" w:color="auto"/>
              <w:right w:val="single" w:sz="4" w:space="0" w:color="auto"/>
            </w:tcBorders>
            <w:shd w:val="clear" w:color="auto" w:fill="auto"/>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Fleetwood</w:t>
            </w:r>
          </w:p>
        </w:tc>
        <w:tc>
          <w:tcPr>
            <w:tcW w:w="1933" w:type="dxa"/>
            <w:tcBorders>
              <w:top w:val="single" w:sz="4" w:space="0" w:color="auto"/>
              <w:left w:val="nil"/>
              <w:bottom w:val="single" w:sz="4" w:space="0" w:color="auto"/>
              <w:right w:val="single" w:sz="4" w:space="0" w:color="auto"/>
            </w:tcBorders>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Reclamation</w:t>
            </w:r>
          </w:p>
        </w:tc>
      </w:tr>
    </w:tbl>
    <w:p w:rsidR="00F95114" w:rsidRDefault="00F95114" w:rsidP="001F1B19"/>
    <w:p w:rsidR="007B3E26" w:rsidRDefault="007B3E26"/>
    <w:p w:rsidR="009C4647" w:rsidRDefault="009C4647" w:rsidP="009E0E1B"/>
    <w:sectPr w:rsidR="009C4647" w:rsidSect="00CA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13DD"/>
    <w:multiLevelType w:val="hybridMultilevel"/>
    <w:tmpl w:val="9DF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F14B5"/>
    <w:multiLevelType w:val="hybridMultilevel"/>
    <w:tmpl w:val="493CE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C53A1"/>
    <w:multiLevelType w:val="hybridMultilevel"/>
    <w:tmpl w:val="CCE87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FD3DD2"/>
    <w:multiLevelType w:val="hybridMultilevel"/>
    <w:tmpl w:val="C8C0E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8633C"/>
    <w:multiLevelType w:val="hybridMultilevel"/>
    <w:tmpl w:val="E05A5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F33F33"/>
    <w:multiLevelType w:val="hybridMultilevel"/>
    <w:tmpl w:val="99668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786A7A"/>
    <w:multiLevelType w:val="hybridMultilevel"/>
    <w:tmpl w:val="209A4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A30F2"/>
    <w:multiLevelType w:val="hybridMultilevel"/>
    <w:tmpl w:val="D17AA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5"/>
  </w:num>
  <w:num w:numId="6">
    <w:abstractNumId w:val="0"/>
  </w:num>
  <w:num w:numId="7">
    <w:abstractNumId w:val="2"/>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3791"/>
    <w:rsid w:val="00084304"/>
    <w:rsid w:val="00097EC9"/>
    <w:rsid w:val="000D48EA"/>
    <w:rsid w:val="000E21C6"/>
    <w:rsid w:val="00144CA6"/>
    <w:rsid w:val="001774BD"/>
    <w:rsid w:val="001B6643"/>
    <w:rsid w:val="001B7B65"/>
    <w:rsid w:val="001C156F"/>
    <w:rsid w:val="001E172B"/>
    <w:rsid w:val="001F1B19"/>
    <w:rsid w:val="00241D35"/>
    <w:rsid w:val="00280EFB"/>
    <w:rsid w:val="002A3E9F"/>
    <w:rsid w:val="002A7054"/>
    <w:rsid w:val="002A7E77"/>
    <w:rsid w:val="002B630A"/>
    <w:rsid w:val="002D3207"/>
    <w:rsid w:val="00365DD4"/>
    <w:rsid w:val="003815C8"/>
    <w:rsid w:val="003869AC"/>
    <w:rsid w:val="003A04B9"/>
    <w:rsid w:val="003A2B80"/>
    <w:rsid w:val="003B062B"/>
    <w:rsid w:val="003D2A39"/>
    <w:rsid w:val="00411DA3"/>
    <w:rsid w:val="00443967"/>
    <w:rsid w:val="00452C66"/>
    <w:rsid w:val="00464F42"/>
    <w:rsid w:val="00487C0E"/>
    <w:rsid w:val="00487F0F"/>
    <w:rsid w:val="004B509D"/>
    <w:rsid w:val="004D588F"/>
    <w:rsid w:val="004E121B"/>
    <w:rsid w:val="00524DDC"/>
    <w:rsid w:val="00531B4A"/>
    <w:rsid w:val="00540C31"/>
    <w:rsid w:val="005466EC"/>
    <w:rsid w:val="00591EFD"/>
    <w:rsid w:val="005957E5"/>
    <w:rsid w:val="00596DAE"/>
    <w:rsid w:val="005A24DF"/>
    <w:rsid w:val="005A5724"/>
    <w:rsid w:val="005B386D"/>
    <w:rsid w:val="005C3A55"/>
    <w:rsid w:val="005F21E6"/>
    <w:rsid w:val="00604C13"/>
    <w:rsid w:val="0064633C"/>
    <w:rsid w:val="0065624A"/>
    <w:rsid w:val="0066742C"/>
    <w:rsid w:val="00692710"/>
    <w:rsid w:val="0069592C"/>
    <w:rsid w:val="006B2CE0"/>
    <w:rsid w:val="006F35E8"/>
    <w:rsid w:val="006F58CE"/>
    <w:rsid w:val="006F6072"/>
    <w:rsid w:val="00711875"/>
    <w:rsid w:val="00716A4F"/>
    <w:rsid w:val="007467AF"/>
    <w:rsid w:val="007B3E26"/>
    <w:rsid w:val="007D00B0"/>
    <w:rsid w:val="007D2F78"/>
    <w:rsid w:val="007D6CED"/>
    <w:rsid w:val="008039DA"/>
    <w:rsid w:val="00822C0E"/>
    <w:rsid w:val="008252EB"/>
    <w:rsid w:val="00846A4F"/>
    <w:rsid w:val="0085404A"/>
    <w:rsid w:val="0085637A"/>
    <w:rsid w:val="008922B7"/>
    <w:rsid w:val="008B6986"/>
    <w:rsid w:val="008E30D2"/>
    <w:rsid w:val="009304C0"/>
    <w:rsid w:val="00937B90"/>
    <w:rsid w:val="0097151F"/>
    <w:rsid w:val="00990BCD"/>
    <w:rsid w:val="009A73AB"/>
    <w:rsid w:val="009C4647"/>
    <w:rsid w:val="009E0E1B"/>
    <w:rsid w:val="009E2D95"/>
    <w:rsid w:val="009F3472"/>
    <w:rsid w:val="00A27E2B"/>
    <w:rsid w:val="00A33171"/>
    <w:rsid w:val="00A61F59"/>
    <w:rsid w:val="00A91829"/>
    <w:rsid w:val="00A91CC5"/>
    <w:rsid w:val="00AB3048"/>
    <w:rsid w:val="00AD2F31"/>
    <w:rsid w:val="00AE14AD"/>
    <w:rsid w:val="00AE7339"/>
    <w:rsid w:val="00AF40B9"/>
    <w:rsid w:val="00B14974"/>
    <w:rsid w:val="00B25405"/>
    <w:rsid w:val="00B26FCE"/>
    <w:rsid w:val="00B325D0"/>
    <w:rsid w:val="00B71ED5"/>
    <w:rsid w:val="00B819B1"/>
    <w:rsid w:val="00BE1BC0"/>
    <w:rsid w:val="00BE44C4"/>
    <w:rsid w:val="00BE581F"/>
    <w:rsid w:val="00C116C8"/>
    <w:rsid w:val="00C3384B"/>
    <w:rsid w:val="00C50F5C"/>
    <w:rsid w:val="00C76570"/>
    <w:rsid w:val="00C76C67"/>
    <w:rsid w:val="00C844FA"/>
    <w:rsid w:val="00CA10C4"/>
    <w:rsid w:val="00CA2B52"/>
    <w:rsid w:val="00CA79B3"/>
    <w:rsid w:val="00CB3D22"/>
    <w:rsid w:val="00CB7956"/>
    <w:rsid w:val="00D132D1"/>
    <w:rsid w:val="00D14AE8"/>
    <w:rsid w:val="00D2332B"/>
    <w:rsid w:val="00D6012A"/>
    <w:rsid w:val="00D64925"/>
    <w:rsid w:val="00D91624"/>
    <w:rsid w:val="00D92FCC"/>
    <w:rsid w:val="00DF0BB5"/>
    <w:rsid w:val="00E066B2"/>
    <w:rsid w:val="00E11356"/>
    <w:rsid w:val="00E17B81"/>
    <w:rsid w:val="00E32D62"/>
    <w:rsid w:val="00E51A8D"/>
    <w:rsid w:val="00E56AA9"/>
    <w:rsid w:val="00E83429"/>
    <w:rsid w:val="00EA1D7C"/>
    <w:rsid w:val="00ED4F12"/>
    <w:rsid w:val="00F107AF"/>
    <w:rsid w:val="00F1481D"/>
    <w:rsid w:val="00F15B60"/>
    <w:rsid w:val="00F26FCF"/>
    <w:rsid w:val="00F427A8"/>
    <w:rsid w:val="00F5711C"/>
    <w:rsid w:val="00F635E9"/>
    <w:rsid w:val="00F679F6"/>
    <w:rsid w:val="00F67BFD"/>
    <w:rsid w:val="00F851D7"/>
    <w:rsid w:val="00F925CF"/>
    <w:rsid w:val="00F9314E"/>
    <w:rsid w:val="00F95114"/>
    <w:rsid w:val="00FA6D71"/>
    <w:rsid w:val="00FA744B"/>
    <w:rsid w:val="00FB61AD"/>
    <w:rsid w:val="00FB75C9"/>
    <w:rsid w:val="00FD1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styleId="Hyperlink">
    <w:name w:val="Hyperlink"/>
    <w:basedOn w:val="DefaultParagraphFont"/>
    <w:uiPriority w:val="99"/>
    <w:semiHidden/>
    <w:unhideWhenUsed/>
    <w:rsid w:val="00E834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92248">
      <w:bodyDiv w:val="1"/>
      <w:marLeft w:val="0"/>
      <w:marRight w:val="0"/>
      <w:marTop w:val="0"/>
      <w:marBottom w:val="0"/>
      <w:divBdr>
        <w:top w:val="none" w:sz="0" w:space="0" w:color="auto"/>
        <w:left w:val="none" w:sz="0" w:space="0" w:color="auto"/>
        <w:bottom w:val="none" w:sz="0" w:space="0" w:color="auto"/>
        <w:right w:val="none" w:sz="0" w:space="0" w:color="auto"/>
      </w:divBdr>
    </w:div>
    <w:div w:id="1514613836">
      <w:bodyDiv w:val="1"/>
      <w:marLeft w:val="0"/>
      <w:marRight w:val="0"/>
      <w:marTop w:val="0"/>
      <w:marBottom w:val="0"/>
      <w:divBdr>
        <w:top w:val="none" w:sz="0" w:space="0" w:color="auto"/>
        <w:left w:val="none" w:sz="0" w:space="0" w:color="auto"/>
        <w:bottom w:val="none" w:sz="0" w:space="0" w:color="auto"/>
        <w:right w:val="none" w:sz="0" w:space="0" w:color="auto"/>
      </w:divBdr>
    </w:div>
    <w:div w:id="1623805060">
      <w:bodyDiv w:val="1"/>
      <w:marLeft w:val="0"/>
      <w:marRight w:val="0"/>
      <w:marTop w:val="0"/>
      <w:marBottom w:val="0"/>
      <w:divBdr>
        <w:top w:val="none" w:sz="0" w:space="0" w:color="auto"/>
        <w:left w:val="none" w:sz="0" w:space="0" w:color="auto"/>
        <w:bottom w:val="none" w:sz="0" w:space="0" w:color="auto"/>
        <w:right w:val="none" w:sz="0" w:space="0" w:color="auto"/>
      </w:divBdr>
    </w:div>
    <w:div w:id="18154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16DD-F890-4E65-B1A4-92F67746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Mather, Chris</cp:lastModifiedBy>
  <cp:revision>47</cp:revision>
  <cp:lastPrinted>2015-09-22T10:58:00Z</cp:lastPrinted>
  <dcterms:created xsi:type="dcterms:W3CDTF">2015-10-19T09:17:00Z</dcterms:created>
  <dcterms:modified xsi:type="dcterms:W3CDTF">2015-11-13T18:24:00Z</dcterms:modified>
</cp:coreProperties>
</file>